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08" w:rsidRPr="00A32B61" w:rsidRDefault="00E91575" w:rsidP="00F8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3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506D1" w:rsidRPr="00A32B61" w:rsidRDefault="008506D1" w:rsidP="008506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A32B61">
        <w:rPr>
          <w:rFonts w:ascii="Times New Roman" w:hAnsi="Times New Roman" w:cs="Times New Roman"/>
          <w:b/>
        </w:rPr>
        <w:t xml:space="preserve">о результатах </w:t>
      </w:r>
      <w:r w:rsidRPr="00A32B61">
        <w:rPr>
          <w:rFonts w:ascii="Times New Roman" w:hAnsi="Times New Roman" w:cs="Times New Roman"/>
          <w:b/>
          <w:bCs/>
        </w:rPr>
        <w:t xml:space="preserve">проверки отдельных вопросов финансово-хозяйственной деятельности </w:t>
      </w:r>
    </w:p>
    <w:p w:rsidR="008506D1" w:rsidRPr="00A32B61" w:rsidRDefault="008506D1" w:rsidP="0085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2B61">
        <w:rPr>
          <w:rFonts w:ascii="Times New Roman" w:hAnsi="Times New Roman" w:cs="Times New Roman"/>
          <w:b/>
        </w:rPr>
        <w:t>МАУДО «Д</w:t>
      </w:r>
      <w:r w:rsidR="00E91575" w:rsidRPr="00A32B61">
        <w:rPr>
          <w:rFonts w:ascii="Times New Roman" w:hAnsi="Times New Roman" w:cs="Times New Roman"/>
          <w:b/>
        </w:rPr>
        <w:t>етская эколого-биологической станция»</w:t>
      </w:r>
      <w:r w:rsidRPr="00A32B61">
        <w:rPr>
          <w:rFonts w:ascii="Times New Roman" w:hAnsi="Times New Roman" w:cs="Times New Roman"/>
          <w:b/>
          <w:bCs/>
        </w:rPr>
        <w:t xml:space="preserve"> </w:t>
      </w:r>
    </w:p>
    <w:bookmarkEnd w:id="0"/>
    <w:p w:rsidR="008506D1" w:rsidRPr="00A32B61" w:rsidRDefault="008506D1" w:rsidP="008506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9B50F2" w:rsidRPr="00A32B61" w:rsidRDefault="009B50F2" w:rsidP="009B50F2">
      <w:pPr>
        <w:spacing w:after="0" w:line="240" w:lineRule="auto"/>
        <w:rPr>
          <w:rFonts w:ascii="Times New Roman" w:hAnsi="Times New Roman" w:cs="Times New Roman"/>
          <w:b/>
        </w:rPr>
      </w:pPr>
    </w:p>
    <w:p w:rsidR="009B50F2" w:rsidRPr="00A32B61" w:rsidRDefault="009B50F2" w:rsidP="009B50F2">
      <w:pPr>
        <w:spacing w:after="0" w:line="240" w:lineRule="auto"/>
        <w:ind w:right="400"/>
        <w:jc w:val="both"/>
        <w:rPr>
          <w:rFonts w:ascii="Times New Roman" w:hAnsi="Times New Roman" w:cs="Times New Roman"/>
          <w:b/>
          <w:bCs/>
        </w:rPr>
      </w:pPr>
      <w:r w:rsidRPr="00A32B61">
        <w:rPr>
          <w:rFonts w:ascii="Times New Roman" w:hAnsi="Times New Roman" w:cs="Times New Roman"/>
          <w:b/>
          <w:bCs/>
        </w:rPr>
        <w:t>Основание для проведения контрольного мероприятия:</w:t>
      </w:r>
    </w:p>
    <w:p w:rsidR="009B50F2" w:rsidRPr="00A32B61" w:rsidRDefault="009B50F2" w:rsidP="009B50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00" w:firstLine="142"/>
        <w:jc w:val="both"/>
        <w:rPr>
          <w:rFonts w:ascii="Times New Roman" w:hAnsi="Times New Roman" w:cs="Times New Roman"/>
          <w:bCs/>
        </w:rPr>
      </w:pPr>
      <w:r w:rsidRPr="00A32B61">
        <w:rPr>
          <w:rFonts w:ascii="Times New Roman" w:hAnsi="Times New Roman" w:cs="Times New Roman"/>
        </w:rPr>
        <w:t>статья</w:t>
      </w:r>
      <w:r w:rsidRPr="00A32B61">
        <w:rPr>
          <w:rFonts w:ascii="Times New Roman" w:hAnsi="Times New Roman" w:cs="Times New Roman"/>
          <w:bCs/>
        </w:rPr>
        <w:t xml:space="preserve"> 157 Бюджетного Кодекса РФ; </w:t>
      </w:r>
    </w:p>
    <w:p w:rsidR="009B50F2" w:rsidRPr="00A32B61" w:rsidRDefault="009B50F2" w:rsidP="009B50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" w:firstLine="142"/>
        <w:jc w:val="both"/>
        <w:rPr>
          <w:rFonts w:ascii="Times New Roman" w:hAnsi="Times New Roman" w:cs="Times New Roman"/>
          <w:bCs/>
        </w:rPr>
      </w:pPr>
      <w:r w:rsidRPr="00A32B61">
        <w:rPr>
          <w:rFonts w:ascii="Times New Roman" w:hAnsi="Times New Roman" w:cs="Times New Roman"/>
          <w:bCs/>
        </w:rPr>
        <w:t>Положение «О Контрольно-счетном органе муниципального образования Кандалакшский район»</w:t>
      </w:r>
      <w:r w:rsidRPr="00A32B61">
        <w:rPr>
          <w:rFonts w:ascii="Times New Roman" w:hAnsi="Times New Roman" w:cs="Times New Roman"/>
        </w:rPr>
        <w:t>, утвержденное решением Совета депутатов муниципального образования Кандалакшский район от 26.10.2011 № 445</w:t>
      </w:r>
      <w:r w:rsidRPr="00A32B61">
        <w:rPr>
          <w:rFonts w:ascii="Times New Roman" w:hAnsi="Times New Roman" w:cs="Times New Roman"/>
          <w:bCs/>
        </w:rPr>
        <w:t>;</w:t>
      </w:r>
    </w:p>
    <w:p w:rsidR="009B50F2" w:rsidRPr="00A32B61" w:rsidRDefault="009B50F2" w:rsidP="009B50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b/>
        </w:rPr>
      </w:pPr>
      <w:r w:rsidRPr="00A32B61">
        <w:rPr>
          <w:rFonts w:ascii="Times New Roman" w:eastAsia="Times New Roman" w:hAnsi="Times New Roman" w:cs="Times New Roman"/>
          <w:lang w:eastAsia="ru-RU"/>
        </w:rPr>
        <w:t xml:space="preserve">пункт 3 Раздела </w:t>
      </w:r>
      <w:r w:rsidRPr="00A32B61">
        <w:rPr>
          <w:rFonts w:ascii="Times New Roman" w:eastAsia="Times New Roman" w:hAnsi="Times New Roman" w:cs="Times New Roman"/>
          <w:lang w:val="en-US" w:eastAsia="ru-RU"/>
        </w:rPr>
        <w:t>II</w:t>
      </w:r>
      <w:r w:rsidRPr="00A32B61">
        <w:rPr>
          <w:rFonts w:ascii="Times New Roman" w:eastAsia="Times New Roman" w:hAnsi="Times New Roman" w:cs="Times New Roman"/>
          <w:lang w:eastAsia="ru-RU"/>
        </w:rPr>
        <w:t xml:space="preserve"> Плана работы Контрольно-счетного органа муниципального образования Кандалакшский район на 2021 год, утвержденного </w:t>
      </w:r>
      <w:r w:rsidRPr="00A32B61">
        <w:rPr>
          <w:rFonts w:ascii="Times New Roman" w:hAnsi="Times New Roman" w:cs="Times New Roman"/>
        </w:rPr>
        <w:t>распоряжением председателя от 30.12.2020 № 01-10/13;</w:t>
      </w:r>
    </w:p>
    <w:p w:rsidR="009B50F2" w:rsidRPr="00A32B61" w:rsidRDefault="009B50F2" w:rsidP="009B50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b/>
        </w:rPr>
      </w:pPr>
      <w:r w:rsidRPr="00A32B61">
        <w:rPr>
          <w:rFonts w:ascii="Times New Roman" w:hAnsi="Times New Roman" w:cs="Times New Roman"/>
        </w:rPr>
        <w:t>приказ Контрольно-счетного органа муниципального образования Кандалакшский район (далее - КСО) от 03.06.2021 № 01-09/15.</w:t>
      </w:r>
    </w:p>
    <w:p w:rsidR="009B50F2" w:rsidRPr="00A32B61" w:rsidRDefault="009B50F2" w:rsidP="008506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50F2" w:rsidRPr="00A32B61" w:rsidRDefault="009B50F2" w:rsidP="009B50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2B61">
        <w:rPr>
          <w:rFonts w:ascii="Times New Roman" w:hAnsi="Times New Roman" w:cs="Times New Roman"/>
          <w:b/>
        </w:rPr>
        <w:t>Цель проверки:</w:t>
      </w:r>
    </w:p>
    <w:p w:rsidR="009B50F2" w:rsidRPr="00A32B61" w:rsidRDefault="009B50F2" w:rsidP="009B50F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определение правильности ведения расчетов и расходования средств при осуществлении финансово-хозяйственной деятельности, в том числе целевое расходование субсидии на исполнение муниципального задания учредителя;</w:t>
      </w:r>
    </w:p>
    <w:p w:rsidR="009B50F2" w:rsidRPr="00A32B61" w:rsidRDefault="009B50F2" w:rsidP="009B50F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определение правильности и полноты бухгалтерского учета;</w:t>
      </w:r>
    </w:p>
    <w:p w:rsidR="009B50F2" w:rsidRPr="00A32B61" w:rsidRDefault="009B50F2" w:rsidP="009B50F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эффективность использования муниципальной собственности.</w:t>
      </w:r>
    </w:p>
    <w:p w:rsidR="008506D1" w:rsidRPr="00A32B61" w:rsidRDefault="008506D1" w:rsidP="008506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506D1" w:rsidRPr="00A32B61" w:rsidRDefault="008506D1" w:rsidP="008506D1">
      <w:pPr>
        <w:spacing w:after="0" w:line="240" w:lineRule="auto"/>
        <w:ind w:left="420" w:right="-6" w:hanging="420"/>
        <w:jc w:val="both"/>
        <w:rPr>
          <w:rFonts w:ascii="Times New Roman" w:eastAsia="Times New Roman" w:hAnsi="Times New Roman" w:cs="Times New Roman"/>
        </w:rPr>
      </w:pPr>
      <w:r w:rsidRPr="00A32B61">
        <w:rPr>
          <w:rFonts w:ascii="Times New Roman" w:hAnsi="Times New Roman" w:cs="Times New Roman"/>
          <w:b/>
        </w:rPr>
        <w:t>Составлен акт проверки</w:t>
      </w:r>
      <w:r w:rsidRPr="00A32B61">
        <w:rPr>
          <w:rFonts w:ascii="Times New Roman" w:eastAsia="Times New Roman" w:hAnsi="Times New Roman" w:cs="Times New Roman"/>
        </w:rPr>
        <w:t>:</w:t>
      </w:r>
    </w:p>
    <w:p w:rsidR="009B50F2" w:rsidRPr="00A32B61" w:rsidRDefault="008506D1" w:rsidP="003C44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A32B61">
        <w:rPr>
          <w:rFonts w:ascii="Times New Roman" w:hAnsi="Times New Roman" w:cs="Times New Roman"/>
        </w:rPr>
        <w:t>Акт проверки</w:t>
      </w:r>
      <w:r w:rsidRPr="00A32B61">
        <w:rPr>
          <w:rFonts w:ascii="Times New Roman" w:eastAsia="Times New Roman" w:hAnsi="Times New Roman" w:cs="Times New Roman"/>
        </w:rPr>
        <w:t xml:space="preserve"> </w:t>
      </w:r>
      <w:r w:rsidR="009B50F2" w:rsidRPr="00A32B61">
        <w:rPr>
          <w:rFonts w:ascii="Times New Roman" w:hAnsi="Times New Roman" w:cs="Times New Roman"/>
          <w:bCs/>
        </w:rPr>
        <w:t xml:space="preserve">отдельных вопросов финансово-хозяйственной деятельности </w:t>
      </w:r>
      <w:r w:rsidR="009B50F2" w:rsidRPr="00A32B61">
        <w:rPr>
          <w:rFonts w:ascii="Times New Roman" w:hAnsi="Times New Roman" w:cs="Times New Roman"/>
        </w:rPr>
        <w:t>МАУДО «ДЭБС»</w:t>
      </w:r>
      <w:r w:rsidR="009B50F2" w:rsidRPr="00A32B61">
        <w:rPr>
          <w:rFonts w:ascii="Times New Roman" w:hAnsi="Times New Roman" w:cs="Times New Roman"/>
          <w:bCs/>
        </w:rPr>
        <w:t xml:space="preserve"> </w:t>
      </w:r>
      <w:r w:rsidR="009B50F2" w:rsidRPr="00A32B61">
        <w:rPr>
          <w:rFonts w:ascii="Times New Roman" w:eastAsia="Calibri" w:hAnsi="Times New Roman" w:cs="Times New Roman"/>
          <w:bCs/>
        </w:rPr>
        <w:t>(</w:t>
      </w:r>
      <w:r w:rsidR="00A32B61">
        <w:rPr>
          <w:rFonts w:ascii="Times New Roman" w:eastAsia="Calibri" w:hAnsi="Times New Roman" w:cs="Times New Roman"/>
          <w:bCs/>
        </w:rPr>
        <w:t xml:space="preserve">от 09.08.2021, </w:t>
      </w:r>
      <w:r w:rsidR="009B50F2" w:rsidRPr="00A32B61">
        <w:rPr>
          <w:rFonts w:ascii="Times New Roman" w:eastAsia="Calibri" w:hAnsi="Times New Roman" w:cs="Times New Roman"/>
          <w:bCs/>
        </w:rPr>
        <w:t>без разногласий).</w:t>
      </w:r>
    </w:p>
    <w:p w:rsidR="008506D1" w:rsidRPr="00A32B61" w:rsidRDefault="008506D1" w:rsidP="008506D1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b/>
        </w:rPr>
      </w:pPr>
    </w:p>
    <w:p w:rsidR="008506D1" w:rsidRPr="00A32B61" w:rsidRDefault="008506D1" w:rsidP="008506D1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</w:rPr>
      </w:pPr>
      <w:r w:rsidRPr="00A32B61">
        <w:rPr>
          <w:rFonts w:ascii="Times New Roman" w:eastAsia="Calibri" w:hAnsi="Times New Roman" w:cs="Times New Roman"/>
          <w:b/>
        </w:rPr>
        <w:t>Проверяемый период</w:t>
      </w:r>
      <w:r w:rsidRPr="00A32B61">
        <w:rPr>
          <w:rFonts w:ascii="Times New Roman" w:eastAsia="Calibri" w:hAnsi="Times New Roman" w:cs="Times New Roman"/>
        </w:rPr>
        <w:t>: 20</w:t>
      </w:r>
      <w:r w:rsidR="009B50F2" w:rsidRPr="00A32B61">
        <w:rPr>
          <w:rFonts w:ascii="Times New Roman" w:eastAsia="Calibri" w:hAnsi="Times New Roman" w:cs="Times New Roman"/>
        </w:rPr>
        <w:t>20</w:t>
      </w:r>
      <w:r w:rsidRPr="00A32B61">
        <w:rPr>
          <w:rFonts w:ascii="Times New Roman" w:eastAsia="Calibri" w:hAnsi="Times New Roman" w:cs="Times New Roman"/>
        </w:rPr>
        <w:t xml:space="preserve"> год.</w:t>
      </w:r>
    </w:p>
    <w:p w:rsidR="009B50F2" w:rsidRPr="00A32B61" w:rsidRDefault="009B50F2" w:rsidP="008506D1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</w:rPr>
      </w:pPr>
    </w:p>
    <w:p w:rsidR="009B50F2" w:rsidRPr="00A32B61" w:rsidRDefault="009B50F2" w:rsidP="009B50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2B61">
        <w:rPr>
          <w:rFonts w:ascii="Times New Roman" w:hAnsi="Times New Roman" w:cs="Times New Roman"/>
          <w:b/>
        </w:rPr>
        <w:t xml:space="preserve">Объем бюджетных средств, охваченных контрольным мероприятием: </w:t>
      </w:r>
    </w:p>
    <w:p w:rsidR="009B50F2" w:rsidRPr="00A32B61" w:rsidRDefault="009B50F2" w:rsidP="009B50F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субсидия на финансовое обеспечение муниципального задания (кассовые расходы)</w:t>
      </w:r>
      <w:r w:rsidRPr="00A32B61">
        <w:rPr>
          <w:rFonts w:ascii="Times New Roman" w:hAnsi="Times New Roman" w:cs="Times New Roman"/>
          <w:b/>
        </w:rPr>
        <w:t xml:space="preserve"> </w:t>
      </w:r>
      <w:r w:rsidRPr="00A32B61">
        <w:rPr>
          <w:rFonts w:ascii="Times New Roman" w:hAnsi="Times New Roman" w:cs="Times New Roman"/>
        </w:rPr>
        <w:t>– 16 608 782,00 рублей;</w:t>
      </w:r>
    </w:p>
    <w:p w:rsidR="009B50F2" w:rsidRPr="00A32B61" w:rsidRDefault="009B50F2" w:rsidP="009B50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субсидия на иные цели (кассовые расходы) – 791 896,32 рублей.</w:t>
      </w:r>
    </w:p>
    <w:p w:rsidR="009B50F2" w:rsidRPr="00A32B61" w:rsidRDefault="009B50F2" w:rsidP="009B50F2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балансовая стоимость муниципального имущества, по состоянию на 01.01.2021г., переданного Учредителем:</w:t>
      </w:r>
    </w:p>
    <w:p w:rsidR="009B50F2" w:rsidRPr="00A32B61" w:rsidRDefault="009B50F2" w:rsidP="009B50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в оперативное управление (основные средства) – 3 778 888,78 рублей;</w:t>
      </w:r>
    </w:p>
    <w:p w:rsidR="009B50F2" w:rsidRPr="00A32B61" w:rsidRDefault="009B50F2" w:rsidP="008506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2B61">
        <w:rPr>
          <w:rFonts w:ascii="Times New Roman" w:hAnsi="Times New Roman" w:cs="Times New Roman"/>
        </w:rPr>
        <w:t>в постоянное (бессрочное) пользование (земельные участки) – 19 508 383,20 рублей.</w:t>
      </w:r>
    </w:p>
    <w:p w:rsidR="00281047" w:rsidRPr="00A32B61" w:rsidRDefault="00281047" w:rsidP="0028104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81047" w:rsidRPr="00A32B61" w:rsidRDefault="00281047" w:rsidP="002810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32B61">
        <w:rPr>
          <w:rFonts w:ascii="Times New Roman" w:eastAsia="Calibri" w:hAnsi="Times New Roman" w:cs="Times New Roman"/>
          <w:b/>
          <w:lang w:eastAsia="ru-RU"/>
        </w:rPr>
        <w:t>Общие сведения о проверяемой организации (учреждении)</w:t>
      </w:r>
    </w:p>
    <w:p w:rsidR="00281047" w:rsidRPr="00A32B61" w:rsidRDefault="00281047" w:rsidP="0028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1047" w:rsidRPr="00140530" w:rsidRDefault="00281047" w:rsidP="0028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61">
        <w:tab/>
      </w:r>
      <w:r w:rsidRPr="00A32B61">
        <w:rPr>
          <w:rFonts w:ascii="Times New Roman" w:hAnsi="Times New Roman" w:cs="Times New Roman"/>
        </w:rPr>
        <w:t xml:space="preserve">МАОУДО </w:t>
      </w:r>
      <w:r w:rsidRPr="00140530">
        <w:rPr>
          <w:rFonts w:ascii="Times New Roman" w:hAnsi="Times New Roman" w:cs="Times New Roman"/>
        </w:rPr>
        <w:t>«</w:t>
      </w:r>
      <w:r w:rsidR="00742E9A" w:rsidRPr="00140530">
        <w:rPr>
          <w:rFonts w:ascii="Times New Roman" w:hAnsi="Times New Roman" w:cs="Times New Roman"/>
        </w:rPr>
        <w:t>Детская эколого-биологической станция</w:t>
      </w:r>
      <w:r w:rsidRPr="00140530">
        <w:rPr>
          <w:rFonts w:ascii="Times New Roman" w:hAnsi="Times New Roman" w:cs="Times New Roman"/>
        </w:rPr>
        <w:t>» создано в соответствии с постановлением Администрации муниципального образования Кандалакшский район от 07.11.2011 № 1553 «О создании на территории муниципального образования Кандалакшский район муниципальных автономных образовательных учреждений путем изменения типа существующих муниципальных образовательных учреждений», в целях предоставления услуги дополнительного образования детей.</w:t>
      </w:r>
    </w:p>
    <w:p w:rsidR="00281047" w:rsidRPr="00140530" w:rsidRDefault="00281047" w:rsidP="002810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Постановлением администрации м.о. Кандалакшский район от 30.06.2015 № 1088 переименовано в МАУДО «ДЭБС».</w:t>
      </w:r>
    </w:p>
    <w:p w:rsidR="00281047" w:rsidRPr="00140530" w:rsidRDefault="00281047" w:rsidP="002810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81047" w:rsidRPr="00140530" w:rsidRDefault="00281047" w:rsidP="00281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>Учредителем и собственником имущества Учреждения является муниципальное образование Кандалакшский район</w:t>
      </w:r>
      <w:r w:rsidR="009D30FC" w:rsidRPr="00140530">
        <w:rPr>
          <w:rFonts w:ascii="Times New Roman" w:eastAsia="Calibri" w:hAnsi="Times New Roman" w:cs="Times New Roman"/>
          <w:lang w:eastAsia="ru-RU"/>
        </w:rPr>
        <w:t>.</w:t>
      </w:r>
      <w:r w:rsidRPr="0014053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281047" w:rsidRPr="00140530" w:rsidRDefault="00281047" w:rsidP="0028104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 xml:space="preserve">Функции и полномочия учредителя от имени муниципального образования, в части реализации прав собственника муниципального имущества осуществляет </w:t>
      </w:r>
      <w:r w:rsidR="009D30FC" w:rsidRPr="00140530">
        <w:rPr>
          <w:rFonts w:ascii="Times New Roman" w:eastAsia="Calibri" w:hAnsi="Times New Roman" w:cs="Times New Roman"/>
          <w:lang w:eastAsia="ru-RU"/>
        </w:rPr>
        <w:t>А</w:t>
      </w:r>
      <w:r w:rsidRPr="00140530">
        <w:rPr>
          <w:rFonts w:ascii="Times New Roman" w:eastAsia="Calibri" w:hAnsi="Times New Roman" w:cs="Times New Roman"/>
          <w:lang w:eastAsia="ru-RU"/>
        </w:rPr>
        <w:t>дминистрация муниципального образования Кандалакшский район. От имени Администрации выступает Комитет имущественных отношений и территориального планирования.</w:t>
      </w:r>
    </w:p>
    <w:p w:rsidR="00281047" w:rsidRPr="00140530" w:rsidRDefault="00281047" w:rsidP="002810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lastRenderedPageBreak/>
        <w:t>Функции и полномочия учредителя в части формирования и финансового обеспечения задания, контроля его выполнения, формирования перечня, объема субсидий на иные цели (целевые субсидии), заключения соглашения о порядке и условиях предоставления субсидий, контроля от имени муниципального образования осуществляет Управление образования администрации Кандалакшского района, в ведении которого находится учреждение, и которое осуществляет регулирование (координацию) деятельности Учреждения.</w:t>
      </w:r>
    </w:p>
    <w:p w:rsidR="00281047" w:rsidRPr="00140530" w:rsidRDefault="00281047" w:rsidP="002810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281047" w:rsidRPr="00140530" w:rsidRDefault="00281047" w:rsidP="0028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 xml:space="preserve">Министерством образования и науки Мурманской области МАУДО «ДЭБС» выдана лицензия (бессрочная) регистрационный номер 92-15 от 21.09.2015 на право оказывать образовательные услуги по реализации образовательных программ дополнительного образования (лицензия серия 51Л01 № 0000292), подвид – дополнительное образование детей и взрослых (приложение к лицензии серия 51ПО1 № 000945).  </w:t>
      </w:r>
    </w:p>
    <w:p w:rsidR="00281047" w:rsidRPr="00140530" w:rsidRDefault="00281047" w:rsidP="00281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>В соответствии с Уставом целью деятельности Учреждения является образовательная деятельность по дополнительным общеобразовательным программам.</w:t>
      </w:r>
    </w:p>
    <w:p w:rsidR="00281047" w:rsidRPr="00140530" w:rsidRDefault="00281047" w:rsidP="0028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>Предметом деятельности Учреждения является обучение и воспитание в интересах человека, семьи, общества и государства, создание благоприятных условий разностороннего развития личности.</w:t>
      </w:r>
    </w:p>
    <w:p w:rsidR="00281047" w:rsidRPr="00140530" w:rsidRDefault="00281047" w:rsidP="0028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>Учреждение реализует дополнительные общеобразовательные программы естественнонаучной направленности.</w:t>
      </w:r>
    </w:p>
    <w:p w:rsidR="009D30FC" w:rsidRPr="00140530" w:rsidRDefault="009D30FC" w:rsidP="0028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E7242A" w:rsidRDefault="00281047" w:rsidP="0028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>Учреждение обеспечивает исполнение своих обязательств в соответствии с муниципальным заданием</w:t>
      </w:r>
      <w:r w:rsidR="009D30FC" w:rsidRPr="00140530">
        <w:rPr>
          <w:rFonts w:ascii="Times New Roman" w:eastAsia="Calibri" w:hAnsi="Times New Roman" w:cs="Times New Roman"/>
          <w:lang w:eastAsia="ru-RU"/>
        </w:rPr>
        <w:t xml:space="preserve"> и </w:t>
      </w:r>
      <w:r w:rsidRPr="00140530">
        <w:rPr>
          <w:rFonts w:ascii="Times New Roman" w:eastAsia="Calibri" w:hAnsi="Times New Roman" w:cs="Times New Roman"/>
          <w:lang w:eastAsia="ru-RU"/>
        </w:rPr>
        <w:t xml:space="preserve">планом финансово-хозяйственной деятельности в </w:t>
      </w:r>
    </w:p>
    <w:p w:rsidR="00281047" w:rsidRPr="00140530" w:rsidRDefault="00281047" w:rsidP="00281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40530">
        <w:rPr>
          <w:rFonts w:ascii="Times New Roman" w:eastAsia="Calibri" w:hAnsi="Times New Roman" w:cs="Times New Roman"/>
          <w:lang w:eastAsia="ru-RU"/>
        </w:rPr>
        <w:t>пределах средств, выделенных из бюджета муниципального образования</w:t>
      </w:r>
      <w:r w:rsidR="009D30FC" w:rsidRPr="00140530">
        <w:rPr>
          <w:rFonts w:ascii="Times New Roman" w:eastAsia="Calibri" w:hAnsi="Times New Roman" w:cs="Times New Roman"/>
          <w:lang w:eastAsia="ru-RU"/>
        </w:rPr>
        <w:t xml:space="preserve"> Кандалакшский район</w:t>
      </w:r>
      <w:r w:rsidRPr="00140530">
        <w:rPr>
          <w:rFonts w:ascii="Times New Roman" w:eastAsia="Calibri" w:hAnsi="Times New Roman" w:cs="Times New Roman"/>
          <w:lang w:eastAsia="ru-RU"/>
        </w:rPr>
        <w:t>.</w:t>
      </w:r>
    </w:p>
    <w:p w:rsidR="00E7242A" w:rsidRPr="000F706E" w:rsidRDefault="00E7242A" w:rsidP="00E72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06E">
        <w:rPr>
          <w:rFonts w:ascii="Times New Roman" w:hAnsi="Times New Roman" w:cs="Times New Roman"/>
        </w:rPr>
        <w:t>Характеристика доходов и расходов Учреждения в разрезе видов финансового обеспечения (деятельности) учреждения:</w:t>
      </w:r>
    </w:p>
    <w:p w:rsidR="00E7242A" w:rsidRPr="00127A9F" w:rsidRDefault="00E7242A" w:rsidP="00E724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9F">
        <w:rPr>
          <w:rFonts w:ascii="Times New Roman" w:hAnsi="Times New Roman" w:cs="Times New Roman"/>
        </w:rPr>
        <w:t xml:space="preserve"> </w:t>
      </w:r>
      <w:r w:rsidRPr="00AD40E6">
        <w:rPr>
          <w:rFonts w:ascii="Times New Roman" w:hAnsi="Times New Roman" w:cs="Times New Roman"/>
          <w:sz w:val="20"/>
          <w:szCs w:val="20"/>
        </w:rPr>
        <w:t>(в рублях</w:t>
      </w:r>
      <w:r w:rsidRPr="00127A9F">
        <w:rPr>
          <w:rFonts w:ascii="Times New Roman" w:hAnsi="Times New Roman" w:cs="Times New Roman"/>
        </w:rPr>
        <w:t>)</w:t>
      </w:r>
    </w:p>
    <w:tbl>
      <w:tblPr>
        <w:tblStyle w:val="a4"/>
        <w:tblW w:w="9378" w:type="dxa"/>
        <w:tblLook w:val="04A0" w:firstRow="1" w:lastRow="0" w:firstColumn="1" w:lastColumn="0" w:noHBand="0" w:noVBand="1"/>
      </w:tblPr>
      <w:tblGrid>
        <w:gridCol w:w="5653"/>
        <w:gridCol w:w="1793"/>
        <w:gridCol w:w="1932"/>
      </w:tblGrid>
      <w:tr w:rsidR="00E7242A" w:rsidTr="00AD54A1">
        <w:trPr>
          <w:trHeight w:val="342"/>
        </w:trPr>
        <w:tc>
          <w:tcPr>
            <w:tcW w:w="5653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3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План от 30.12.2020</w:t>
            </w: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Ф. 0503737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(кассовые расходы)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  <w:shd w:val="clear" w:color="auto" w:fill="F2F2F2" w:themeFill="background1" w:themeFillShade="F2"/>
            <w:vAlign w:val="center"/>
          </w:tcPr>
          <w:p w:rsidR="00E7242A" w:rsidRPr="006E384F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средств на 01.01.2020 года, в </w:t>
            </w:r>
            <w:proofErr w:type="spellStart"/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E7242A" w:rsidRPr="006E384F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>6 078,46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E7242A" w:rsidRPr="006E384F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>6 078,46</w:t>
            </w:r>
          </w:p>
        </w:tc>
      </w:tr>
      <w:tr w:rsidR="00E7242A" w:rsidTr="00AD54A1">
        <w:trPr>
          <w:trHeight w:val="525"/>
        </w:trPr>
        <w:tc>
          <w:tcPr>
            <w:tcW w:w="5653" w:type="dxa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Остаток средств от выполнения учреждением работ, предоставление которых для физических и юридических лиц осуществляется на платной основе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«2»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6 078,46</w:t>
            </w: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6 078,46</w:t>
            </w:r>
          </w:p>
        </w:tc>
      </w:tr>
      <w:tr w:rsidR="00E7242A" w:rsidTr="00AD54A1">
        <w:trPr>
          <w:trHeight w:val="342"/>
        </w:trPr>
        <w:tc>
          <w:tcPr>
            <w:tcW w:w="5653" w:type="dxa"/>
            <w:shd w:val="clear" w:color="auto" w:fill="auto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выполнение муниципального задания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«4»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7242A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7242A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  <w:shd w:val="clear" w:color="auto" w:fill="auto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«5»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  <w:shd w:val="clear" w:color="auto" w:fill="F2F2F2" w:themeFill="background1" w:themeFillShade="F2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Поступления всего, в </w:t>
            </w:r>
            <w:proofErr w:type="spellStart"/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18 545 376,97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18 545 376,97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Собственные доходы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«2»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1 107 948,65</w:t>
            </w: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1 107 948,65</w:t>
            </w:r>
          </w:p>
        </w:tc>
      </w:tr>
      <w:tr w:rsidR="00E7242A" w:rsidTr="00AD54A1">
        <w:trPr>
          <w:trHeight w:val="342"/>
        </w:trPr>
        <w:tc>
          <w:tcPr>
            <w:tcW w:w="5653" w:type="dxa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муниципального задания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«4»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16 608 782,00</w:t>
            </w: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16 608 782,00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«5»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828 646,32</w:t>
            </w: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828 646,32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  <w:shd w:val="clear" w:color="auto" w:fill="F2F2F2" w:themeFill="background1" w:themeFillShade="F2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всего, в </w:t>
            </w:r>
            <w:proofErr w:type="spellStart"/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E7242A" w:rsidRPr="006E384F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>18 551 455,43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E7242A" w:rsidRPr="006E384F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>18 436 903,39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Собственные доходы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«2»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vMerge w:val="restart"/>
            <w:vAlign w:val="center"/>
          </w:tcPr>
          <w:p w:rsidR="00E7242A" w:rsidRPr="002241F2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F2">
              <w:rPr>
                <w:rFonts w:ascii="Times New Roman" w:hAnsi="Times New Roman" w:cs="Times New Roman"/>
                <w:sz w:val="20"/>
                <w:szCs w:val="20"/>
              </w:rPr>
              <w:t>18 551 455,43</w:t>
            </w: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1 114 027,11</w:t>
            </w:r>
          </w:p>
        </w:tc>
      </w:tr>
      <w:tr w:rsidR="00E7242A" w:rsidTr="00AD54A1">
        <w:trPr>
          <w:trHeight w:val="342"/>
        </w:trPr>
        <w:tc>
          <w:tcPr>
            <w:tcW w:w="5653" w:type="dxa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муниципального задания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«4»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vMerge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16 494 229,96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«5»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vMerge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828 646,32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  <w:shd w:val="clear" w:color="auto" w:fill="F2F2F2" w:themeFill="background1" w:themeFillShade="F2"/>
            <w:vAlign w:val="center"/>
          </w:tcPr>
          <w:p w:rsidR="00E7242A" w:rsidRPr="008C5F07" w:rsidRDefault="00E7242A" w:rsidP="00AD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на 01.01.2021 года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E7242A" w:rsidRPr="006E384F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E7242A" w:rsidRPr="006E384F" w:rsidRDefault="00E7242A" w:rsidP="00AD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4F">
              <w:rPr>
                <w:rFonts w:ascii="Times New Roman" w:hAnsi="Times New Roman" w:cs="Times New Roman"/>
                <w:b/>
                <w:sz w:val="20"/>
                <w:szCs w:val="20"/>
              </w:rPr>
              <w:t>114 552,04</w:t>
            </w:r>
          </w:p>
        </w:tc>
      </w:tr>
      <w:tr w:rsidR="00E7242A" w:rsidTr="00AD54A1">
        <w:trPr>
          <w:trHeight w:val="525"/>
        </w:trPr>
        <w:tc>
          <w:tcPr>
            <w:tcW w:w="5653" w:type="dxa"/>
            <w:shd w:val="clear" w:color="auto" w:fill="auto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Остаток средств от выполнения учреждением работ, предоставление которых для физических и юридических лиц осуществляется на платной основе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«2»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242A" w:rsidTr="00AD54A1">
        <w:trPr>
          <w:trHeight w:val="342"/>
        </w:trPr>
        <w:tc>
          <w:tcPr>
            <w:tcW w:w="5653" w:type="dxa"/>
            <w:shd w:val="clear" w:color="auto" w:fill="auto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выполнение муниципального задания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«4»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7242A" w:rsidRPr="008C5F07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114 552,04</w:t>
            </w:r>
          </w:p>
        </w:tc>
      </w:tr>
      <w:tr w:rsidR="00E7242A" w:rsidTr="00AD54A1">
        <w:trPr>
          <w:trHeight w:val="171"/>
        </w:trPr>
        <w:tc>
          <w:tcPr>
            <w:tcW w:w="5653" w:type="dxa"/>
            <w:shd w:val="clear" w:color="auto" w:fill="auto"/>
          </w:tcPr>
          <w:p w:rsidR="00E7242A" w:rsidRPr="008C5F07" w:rsidRDefault="00E7242A" w:rsidP="00AD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 (</w:t>
            </w:r>
            <w:r w:rsidRPr="008C5F07">
              <w:rPr>
                <w:rFonts w:ascii="Times New Roman" w:hAnsi="Times New Roman" w:cs="Times New Roman"/>
                <w:b/>
                <w:sz w:val="20"/>
                <w:szCs w:val="20"/>
              </w:rPr>
              <w:t>КФО «5»</w:t>
            </w:r>
            <w:r w:rsidRPr="008C5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7242A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7242A" w:rsidRDefault="00E7242A" w:rsidP="00AD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7242A" w:rsidRDefault="00E7242A" w:rsidP="00E7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2A" w:rsidRPr="000F706E" w:rsidRDefault="00E7242A" w:rsidP="00E72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C68">
        <w:rPr>
          <w:rFonts w:ascii="Times New Roman" w:hAnsi="Times New Roman" w:cs="Times New Roman"/>
          <w:sz w:val="24"/>
          <w:szCs w:val="24"/>
        </w:rPr>
        <w:tab/>
      </w:r>
      <w:r w:rsidRPr="000F706E">
        <w:rPr>
          <w:rFonts w:ascii="Times New Roman" w:hAnsi="Times New Roman" w:cs="Times New Roman"/>
        </w:rPr>
        <w:t>Данные об остатках средств подтверждаются отчетом «Сведениями об остатках денежных средств учреждения» (ф. 0503779 по видам деятельности).</w:t>
      </w:r>
    </w:p>
    <w:p w:rsidR="00E7242A" w:rsidRPr="000F706E" w:rsidRDefault="00E7242A" w:rsidP="00E72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706E">
        <w:rPr>
          <w:rFonts w:ascii="Times New Roman" w:hAnsi="Times New Roman" w:cs="Times New Roman"/>
        </w:rPr>
        <w:lastRenderedPageBreak/>
        <w:tab/>
        <w:t>Остаток по состоянию на 01.01.2021 год представляет собой неиспользованный остаток субсидии на муниципальное задание (по отчету ф. 0503169 кредиторская задолженность по счету 4 401 40 131).</w:t>
      </w:r>
    </w:p>
    <w:p w:rsidR="00E7242A" w:rsidRPr="000F706E" w:rsidRDefault="00E7242A" w:rsidP="00E724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47" w:rsidRPr="00140530" w:rsidRDefault="00281047" w:rsidP="00F51A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40530">
        <w:rPr>
          <w:rFonts w:ascii="Times New Roman" w:hAnsi="Times New Roman"/>
        </w:rPr>
        <w:t xml:space="preserve">С 01.10.2021 года Учреждение реорганизовано путем присоединения к </w:t>
      </w:r>
      <w:hyperlink r:id="rId7" w:tgtFrame="_blank" w:history="1">
        <w:proofErr w:type="spellStart"/>
        <w:r w:rsidRPr="00140530">
          <w:rPr>
            <w:rFonts w:ascii="Times New Roman" w:hAnsi="Times New Roman"/>
            <w:bCs/>
          </w:rPr>
          <w:t>Муници-пальному</w:t>
        </w:r>
        <w:proofErr w:type="spellEnd"/>
        <w:r w:rsidRPr="00140530">
          <w:rPr>
            <w:rFonts w:ascii="Times New Roman" w:hAnsi="Times New Roman"/>
            <w:bCs/>
          </w:rPr>
          <w:t>   автономному учреждению дополнительного образования «Детско-юношеский центр «Ровесник» имени Светланы Алексеевны Крыловой» муниципального образования Кандалакшский район</w:t>
        </w:r>
      </w:hyperlink>
      <w:r w:rsidRPr="00140530">
        <w:rPr>
          <w:rFonts w:ascii="Times New Roman" w:hAnsi="Times New Roman"/>
          <w:bCs/>
        </w:rPr>
        <w:t xml:space="preserve"> (далее – МАУДО ДЮЦ «Ровесник») (основание – постановление </w:t>
      </w:r>
      <w:r w:rsidRPr="00140530">
        <w:rPr>
          <w:rFonts w:ascii="Times New Roman" w:hAnsi="Times New Roman" w:cs="Times New Roman"/>
        </w:rPr>
        <w:t>постановления администрации от 23.10.2020 № 1323 с изм</w:t>
      </w:r>
      <w:r w:rsidR="00F51A25" w:rsidRPr="00140530">
        <w:rPr>
          <w:rFonts w:ascii="Times New Roman" w:hAnsi="Times New Roman" w:cs="Times New Roman"/>
        </w:rPr>
        <w:t>енениями от 17.12.2020 № 1697).</w:t>
      </w:r>
    </w:p>
    <w:p w:rsidR="00571776" w:rsidRPr="00140530" w:rsidRDefault="00571776" w:rsidP="00F51A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0F4CF3" w:rsidRPr="00A32B61" w:rsidRDefault="000F4CF3" w:rsidP="000F4CF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40530">
        <w:rPr>
          <w:rFonts w:ascii="Times New Roman" w:hAnsi="Times New Roman"/>
        </w:rPr>
        <w:t>Характеристика доходов и расходов Учреждения в рамках вида финансового обеспечения – собственные доходы Учреждения (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по данным </w:t>
      </w:r>
      <w:r w:rsidRPr="00140530">
        <w:rPr>
          <w:rFonts w:ascii="Times New Roman" w:hAnsi="Times New Roman"/>
        </w:rPr>
        <w:t>ПФХ от 30.12.2020, ф. 0503737</w:t>
      </w:r>
      <w:r w:rsidRPr="00A32B61">
        <w:rPr>
          <w:rFonts w:ascii="Times New Roman" w:hAnsi="Times New Roman"/>
        </w:rPr>
        <w:t xml:space="preserve"> </w:t>
      </w:r>
      <w:r w:rsidRPr="00A32B61">
        <w:rPr>
          <w:rFonts w:ascii="Times New Roman" w:eastAsia="Times New Roman" w:hAnsi="Times New Roman" w:cs="Times New Roman"/>
          <w:lang w:eastAsia="ru-RU"/>
        </w:rPr>
        <w:t>«Отчет об исполнении учреждением плана его финансово-хозяйственной деятельности»)</w:t>
      </w:r>
    </w:p>
    <w:p w:rsidR="000F4CF3" w:rsidRPr="00A32B61" w:rsidRDefault="000F4CF3" w:rsidP="000F4CF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A32B61">
        <w:rPr>
          <w:rFonts w:ascii="Times New Roman" w:hAnsi="Times New Roman"/>
          <w:sz w:val="20"/>
          <w:szCs w:val="20"/>
        </w:rPr>
        <w:t xml:space="preserve"> (в рублях)</w:t>
      </w:r>
    </w:p>
    <w:tbl>
      <w:tblPr>
        <w:tblStyle w:val="a4"/>
        <w:tblW w:w="9776" w:type="dxa"/>
        <w:tblInd w:w="-289" w:type="dxa"/>
        <w:tblLook w:val="04A0" w:firstRow="1" w:lastRow="0" w:firstColumn="1" w:lastColumn="0" w:noHBand="0" w:noVBand="1"/>
      </w:tblPr>
      <w:tblGrid>
        <w:gridCol w:w="952"/>
        <w:gridCol w:w="6414"/>
        <w:gridCol w:w="1296"/>
        <w:gridCol w:w="1114"/>
      </w:tblGrid>
      <w:tr w:rsidR="00E91575" w:rsidRPr="00A32B61" w:rsidTr="00FD64AF">
        <w:trPr>
          <w:trHeight w:val="274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</w:tr>
      <w:tr w:rsidR="00E91575" w:rsidRPr="00A32B61" w:rsidTr="00FD64AF">
        <w:tc>
          <w:tcPr>
            <w:tcW w:w="7366" w:type="dxa"/>
            <w:gridSpan w:val="2"/>
          </w:tcPr>
          <w:p w:rsidR="000F4CF3" w:rsidRPr="00A32B61" w:rsidRDefault="000F4CF3" w:rsidP="007F4D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Остаток денежных средств на счете на 01.01.2020</w:t>
            </w:r>
          </w:p>
        </w:tc>
        <w:tc>
          <w:tcPr>
            <w:tcW w:w="2410" w:type="dxa"/>
            <w:gridSpan w:val="2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6 078,45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1296" w:type="dxa"/>
            <w:vAlign w:val="center"/>
          </w:tcPr>
          <w:p w:rsidR="000F4CF3" w:rsidRPr="00A32B61" w:rsidRDefault="0084550B" w:rsidP="00845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уд.вес (100,0%)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Реализация платных дополнительных услуг по дополнительной общеразвивающей программе «Необычное в обычном»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29 063,00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2,6%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Проведение экскурсий для населения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1 350,00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0,2%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Реализация рассады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385 702,00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34,8%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Благоустройство и озеленение городской территории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64 000,00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5,8%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Сертифицированные образовательные услуги дополнительного образования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236 234,65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21,3%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Грант в форме субсидии из областного бюджета некоммерческим организациям, не являющимся казенными учреждениями, на реализацию инновационных проектов в сфере дополнительного образования и выявления, поддержки и развития способностей и талантов у детей и молодежи Мурманской области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391 599,00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35,3%</w:t>
            </w:r>
          </w:p>
        </w:tc>
      </w:tr>
      <w:tr w:rsidR="00E91575" w:rsidRPr="00A32B61" w:rsidTr="00FD64AF">
        <w:tc>
          <w:tcPr>
            <w:tcW w:w="7366" w:type="dxa"/>
            <w:gridSpan w:val="2"/>
          </w:tcPr>
          <w:p w:rsidR="000F4CF3" w:rsidRPr="00A32B61" w:rsidRDefault="000F4CF3" w:rsidP="007F4D2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A32B6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1 107 948,65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100,0%</w:t>
            </w:r>
          </w:p>
        </w:tc>
      </w:tr>
      <w:tr w:rsidR="00E91575" w:rsidRPr="00A32B61" w:rsidTr="00FD64AF">
        <w:trPr>
          <w:trHeight w:val="174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РАСХОДЫ</w:t>
            </w:r>
          </w:p>
        </w:tc>
      </w:tr>
      <w:tr w:rsidR="00E91575" w:rsidRPr="00A32B61" w:rsidTr="00FD64AF">
        <w:tc>
          <w:tcPr>
            <w:tcW w:w="952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КОСГУ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1296" w:type="dxa"/>
            <w:vAlign w:val="center"/>
          </w:tcPr>
          <w:p w:rsidR="000F4CF3" w:rsidRPr="00A32B61" w:rsidRDefault="0084550B" w:rsidP="00845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уд.вес (100,0%)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54 949,50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4,9%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15 339,93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1,4%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3 286,12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0,3%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12 278,93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1,1%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2 094,77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0,2%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47 907,00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4,3%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176 249,34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15,8%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19 432,67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1,7%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436 675,00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39,2%</w:t>
            </w:r>
          </w:p>
        </w:tc>
      </w:tr>
      <w:tr w:rsidR="00E91575" w:rsidRPr="00A32B61" w:rsidTr="00FD64AF">
        <w:tc>
          <w:tcPr>
            <w:tcW w:w="952" w:type="dxa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6414" w:type="dxa"/>
            <w:vAlign w:val="center"/>
          </w:tcPr>
          <w:p w:rsidR="000F4CF3" w:rsidRPr="00A32B61" w:rsidRDefault="000F4CF3" w:rsidP="007F4D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345 813,85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61">
              <w:rPr>
                <w:rFonts w:ascii="Times New Roman" w:hAnsi="Times New Roman"/>
                <w:sz w:val="18"/>
                <w:szCs w:val="18"/>
              </w:rPr>
              <w:t>31,0%</w:t>
            </w:r>
          </w:p>
        </w:tc>
      </w:tr>
      <w:tr w:rsidR="00E91575" w:rsidRPr="00A32B61" w:rsidTr="00FD64AF">
        <w:tc>
          <w:tcPr>
            <w:tcW w:w="7366" w:type="dxa"/>
            <w:gridSpan w:val="2"/>
          </w:tcPr>
          <w:p w:rsidR="000F4CF3" w:rsidRPr="00A32B61" w:rsidRDefault="000F4CF3" w:rsidP="007F4D2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96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1 114 027,11</w:t>
            </w:r>
          </w:p>
        </w:tc>
        <w:tc>
          <w:tcPr>
            <w:tcW w:w="1114" w:type="dxa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100,0%</w:t>
            </w:r>
          </w:p>
        </w:tc>
      </w:tr>
      <w:tr w:rsidR="00E91575" w:rsidRPr="00A32B61" w:rsidTr="00FD64AF">
        <w:tc>
          <w:tcPr>
            <w:tcW w:w="7366" w:type="dxa"/>
            <w:gridSpan w:val="2"/>
          </w:tcPr>
          <w:p w:rsidR="000F4CF3" w:rsidRPr="00A32B61" w:rsidRDefault="000F4CF3" w:rsidP="007F4D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Остаток денежных средств на счете на 01.01.2021</w:t>
            </w:r>
          </w:p>
        </w:tc>
        <w:tc>
          <w:tcPr>
            <w:tcW w:w="2410" w:type="dxa"/>
            <w:gridSpan w:val="2"/>
            <w:vAlign w:val="center"/>
          </w:tcPr>
          <w:p w:rsidR="000F4CF3" w:rsidRPr="00A32B61" w:rsidRDefault="000F4CF3" w:rsidP="007F4D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B6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</w:tbl>
    <w:p w:rsidR="000F4CF3" w:rsidRPr="00A32B61" w:rsidRDefault="000F4CF3" w:rsidP="00327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444" w:rsidRPr="00140530" w:rsidRDefault="008B2444" w:rsidP="008B24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2B61">
        <w:rPr>
          <w:rFonts w:ascii="Times New Roman" w:hAnsi="Times New Roman"/>
        </w:rPr>
        <w:t xml:space="preserve">В целях </w:t>
      </w:r>
      <w:r w:rsidRPr="00140530">
        <w:rPr>
          <w:rFonts w:ascii="Times New Roman" w:hAnsi="Times New Roman"/>
        </w:rPr>
        <w:t xml:space="preserve">организации платных образовательных услуг администрацией Учреждения утвержден   внутренний локальный документ - Положение об оказании платных образовательных услуг (утверждено приказом директора от 31.05.2018 № 130, далее - Положение об оказании платных образовательных услуг). </w:t>
      </w:r>
    </w:p>
    <w:p w:rsidR="008B2444" w:rsidRPr="00140530" w:rsidRDefault="008B2444" w:rsidP="008B24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40530">
        <w:rPr>
          <w:rFonts w:ascii="Times New Roman" w:hAnsi="Times New Roman"/>
        </w:rPr>
        <w:t>Данное Положение согласовано профсоюзным комитетом (протокол от 26.04.2018 № 5).</w:t>
      </w:r>
    </w:p>
    <w:p w:rsidR="008B2444" w:rsidRPr="00140530" w:rsidRDefault="008B2444" w:rsidP="00327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444" w:rsidRPr="00140530" w:rsidRDefault="008B2444" w:rsidP="008B24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40530">
        <w:rPr>
          <w:rFonts w:ascii="Times New Roman" w:hAnsi="Times New Roman"/>
        </w:rPr>
        <w:t>Перечень дополнительных общеобразовательных программ, реализуемых по договорам об образовании за счет средств физических лиц, утвержден директором МАУДО «ДЭБС» 12.09.2019 № 210 «Об утверждении учебного плана платных образовательных услуг на 2019/2020» и включает одну программу – «Необычное в обычном», что предусмотрено Уставом (пункт 2.6).</w:t>
      </w:r>
    </w:p>
    <w:p w:rsidR="008B2444" w:rsidRPr="00140530" w:rsidRDefault="008B2444" w:rsidP="008B2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40530">
        <w:rPr>
          <w:rFonts w:ascii="Times New Roman" w:hAnsi="Times New Roman"/>
          <w:bCs/>
        </w:rPr>
        <w:t>Предельно допустимые цены на платные дополнительные образовательные и иные услуги, предоставляемые МАУДО «ДЭБС» утверждены постановлением администрации от 15.04.2019 № 492 «Об утверждении цен на платные дополнительные образовательные и иные услуги, предоставляемые МАУДО «Детская эколого-биологическая станция» муниципального образования Кандалакшский район».</w:t>
      </w:r>
    </w:p>
    <w:p w:rsidR="008B2444" w:rsidRPr="00140530" w:rsidRDefault="008B2444" w:rsidP="008B24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40530">
        <w:rPr>
          <w:rFonts w:ascii="Times New Roman" w:hAnsi="Times New Roman"/>
        </w:rPr>
        <w:lastRenderedPageBreak/>
        <w:t xml:space="preserve">Стоимость платных образовательных услуг, согласно пункту 3.2 Положения об оказании платных образовательных услуг утверждена приказом директора от 16.09.2019 № 217 и не превышает предельных цен, установленных постановлением администрации. </w:t>
      </w:r>
    </w:p>
    <w:p w:rsidR="007E35AB" w:rsidRPr="00140530" w:rsidRDefault="007E35AB" w:rsidP="008B244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E35AB" w:rsidRPr="00140530" w:rsidRDefault="007E35AB" w:rsidP="007E35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40530">
        <w:rPr>
          <w:rFonts w:ascii="Times New Roman" w:hAnsi="Times New Roman"/>
          <w:bCs/>
        </w:rPr>
        <w:t xml:space="preserve">В соответствии с пунктом 7 Правил оказания платных образовательных услуг (утверждены постановлением Правительства РФ от 15.08.2013 № 706) и пунктом 3.5, 3.6 </w:t>
      </w:r>
      <w:r w:rsidRPr="00140530">
        <w:rPr>
          <w:rFonts w:ascii="Times New Roman" w:hAnsi="Times New Roman"/>
        </w:rPr>
        <w:t>Положения об оказании платных образовательных услуг приказом директора Учреждения утверждено Положение об основаниях и порядке снижения стоимости платных образовательных услуг.</w:t>
      </w:r>
    </w:p>
    <w:p w:rsidR="007E35AB" w:rsidRPr="00140530" w:rsidRDefault="007E35AB" w:rsidP="007E35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E35AB" w:rsidRPr="00140530" w:rsidRDefault="007E35AB" w:rsidP="007E35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40530">
        <w:rPr>
          <w:rFonts w:ascii="Times New Roman" w:hAnsi="Times New Roman"/>
          <w:bCs/>
        </w:rPr>
        <w:t>В качестве иных видов деятельности Учреждение осуществляло деятельность, предусмотренную Уставом:</w:t>
      </w:r>
    </w:p>
    <w:p w:rsidR="007E35AB" w:rsidRPr="00140530" w:rsidRDefault="007E35AB" w:rsidP="007E35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40530">
        <w:rPr>
          <w:rFonts w:ascii="Times New Roman" w:hAnsi="Times New Roman"/>
          <w:bCs/>
        </w:rPr>
        <w:t>проведение экскурсий для населения;</w:t>
      </w:r>
    </w:p>
    <w:p w:rsidR="007E35AB" w:rsidRPr="00A32B61" w:rsidRDefault="007E35AB" w:rsidP="007E35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A32B61">
        <w:rPr>
          <w:rFonts w:ascii="Times New Roman" w:hAnsi="Times New Roman"/>
          <w:bCs/>
        </w:rPr>
        <w:t>реализация рассады;</w:t>
      </w:r>
    </w:p>
    <w:p w:rsidR="007E35AB" w:rsidRPr="00A32B61" w:rsidRDefault="007E35AB" w:rsidP="007E35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A32B61">
        <w:rPr>
          <w:rFonts w:ascii="Times New Roman" w:hAnsi="Times New Roman"/>
          <w:bCs/>
        </w:rPr>
        <w:t>благоустройство и озеленение городской территории.</w:t>
      </w:r>
    </w:p>
    <w:p w:rsidR="00C234F7" w:rsidRPr="00A32B61" w:rsidRDefault="00C234F7" w:rsidP="00C3257C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FF42BF" w:rsidRPr="00A32B61" w:rsidRDefault="00FF42BF" w:rsidP="00FF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2B61">
        <w:rPr>
          <w:rFonts w:ascii="Times New Roman" w:hAnsi="Times New Roman" w:cs="Times New Roman"/>
          <w:b/>
          <w:bCs/>
        </w:rPr>
        <w:t xml:space="preserve">Выводы </w:t>
      </w:r>
    </w:p>
    <w:p w:rsidR="00FF42BF" w:rsidRPr="00A32B61" w:rsidRDefault="00FF42BF" w:rsidP="00FF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42BF" w:rsidRPr="00A32B61" w:rsidRDefault="00FF42BF" w:rsidP="00FF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32B61">
        <w:rPr>
          <w:rFonts w:ascii="Times New Roman" w:hAnsi="Times New Roman" w:cs="Times New Roman"/>
          <w:bCs/>
        </w:rPr>
        <w:t>МАУДО «ДЭБС» осуществляет свою деятельность в соответствии с предметом и целями деятельности, определенными законодательством Российской Федерации и Уставом, путем оказания услуг в сфере дополнительного образования.</w:t>
      </w:r>
    </w:p>
    <w:p w:rsidR="00FF42BF" w:rsidRPr="00A32B61" w:rsidRDefault="00FF42BF" w:rsidP="00FF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32B61">
        <w:rPr>
          <w:rFonts w:ascii="Times New Roman" w:eastAsia="Calibri" w:hAnsi="Times New Roman" w:cs="Times New Roman"/>
          <w:lang w:eastAsia="ru-RU"/>
        </w:rPr>
        <w:t>Учреждение обеспечивает исполнение своих обязательств в соответствии с муниципальным заданием, планом финансово-хозяйственной деятельности в пределах средств, выделенных из бюджета муниципального образования.</w:t>
      </w:r>
    </w:p>
    <w:p w:rsidR="00282540" w:rsidRPr="00A32B61" w:rsidRDefault="00FF42BF" w:rsidP="00282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A32B61">
        <w:rPr>
          <w:rFonts w:ascii="Times New Roman" w:eastAsia="Calibri" w:hAnsi="Times New Roman" w:cs="Times New Roman"/>
          <w:lang w:eastAsia="ru-RU"/>
        </w:rPr>
        <w:t xml:space="preserve">Муниципальное задание исполнено в 2020 году </w:t>
      </w:r>
      <w:r w:rsidRPr="00A32B61">
        <w:rPr>
          <w:rFonts w:ascii="Times New Roman" w:hAnsi="Times New Roman" w:cs="Times New Roman"/>
          <w:bCs/>
        </w:rPr>
        <w:t>на 102,1%</w:t>
      </w:r>
      <w:r w:rsidRPr="00A32B61">
        <w:rPr>
          <w:rFonts w:ascii="Times New Roman" w:eastAsia="Calibri" w:hAnsi="Times New Roman" w:cs="Times New Roman"/>
          <w:lang w:eastAsia="ru-RU"/>
        </w:rPr>
        <w:t>.</w:t>
      </w:r>
      <w:r w:rsidR="00282540" w:rsidRPr="00A32B61">
        <w:rPr>
          <w:rFonts w:ascii="Times New Roman" w:hAnsi="Times New Roman" w:cs="Times New Roman"/>
          <w:bCs/>
        </w:rPr>
        <w:t xml:space="preserve"> Показатели качества достигнуты на 100,0% от утвержденных.</w:t>
      </w:r>
    </w:p>
    <w:p w:rsidR="00FF42BF" w:rsidRPr="00DD6CFF" w:rsidRDefault="00FF42BF" w:rsidP="00FF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FF42BF" w:rsidRPr="00DD6CFF" w:rsidRDefault="00FF42BF" w:rsidP="00FF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D6CFF">
        <w:rPr>
          <w:rFonts w:ascii="Times New Roman" w:eastAsia="Calibri" w:hAnsi="Times New Roman" w:cs="Times New Roman"/>
          <w:lang w:eastAsia="ru-RU"/>
        </w:rPr>
        <w:t>В проверяем</w:t>
      </w:r>
      <w:r w:rsidR="00282540">
        <w:rPr>
          <w:rFonts w:ascii="Times New Roman" w:eastAsia="Calibri" w:hAnsi="Times New Roman" w:cs="Times New Roman"/>
          <w:lang w:eastAsia="ru-RU"/>
        </w:rPr>
        <w:t>ом</w:t>
      </w:r>
      <w:r w:rsidRPr="00DD6CFF">
        <w:rPr>
          <w:rFonts w:ascii="Times New Roman" w:eastAsia="Calibri" w:hAnsi="Times New Roman" w:cs="Times New Roman"/>
          <w:lang w:eastAsia="ru-RU"/>
        </w:rPr>
        <w:t xml:space="preserve"> период</w:t>
      </w:r>
      <w:r w:rsidR="00282540">
        <w:rPr>
          <w:rFonts w:ascii="Times New Roman" w:eastAsia="Calibri" w:hAnsi="Times New Roman" w:cs="Times New Roman"/>
          <w:lang w:eastAsia="ru-RU"/>
        </w:rPr>
        <w:t>е</w:t>
      </w:r>
      <w:r w:rsidRPr="00DD6CFF">
        <w:rPr>
          <w:rFonts w:ascii="Times New Roman" w:eastAsia="Calibri" w:hAnsi="Times New Roman" w:cs="Times New Roman"/>
          <w:lang w:eastAsia="ru-RU"/>
        </w:rPr>
        <w:t xml:space="preserve"> Учреждение предоставляло платные образовательные услуги, относящиеся к его основной деятельности, а также иные виды деятельности, предусмотренные Уставом.</w:t>
      </w:r>
    </w:p>
    <w:p w:rsidR="00FF42BF" w:rsidRPr="00DD6CFF" w:rsidRDefault="00FF42BF" w:rsidP="00FF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6CFF">
        <w:rPr>
          <w:rFonts w:ascii="Times New Roman" w:eastAsia="Times New Roman" w:hAnsi="Times New Roman" w:cs="Times New Roman"/>
          <w:lang w:eastAsia="ru-RU"/>
        </w:rPr>
        <w:t>Имущество, закрепленное на праве оперативного управления, используется Учреждением:</w:t>
      </w:r>
    </w:p>
    <w:p w:rsidR="00FF42BF" w:rsidRPr="00DD6CFF" w:rsidRDefault="00FF42BF" w:rsidP="00FF42BF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D6CFF">
        <w:rPr>
          <w:rFonts w:ascii="Times New Roman" w:eastAsia="Times New Roman" w:hAnsi="Times New Roman" w:cs="Times New Roman"/>
          <w:lang w:eastAsia="ru-RU"/>
        </w:rPr>
        <w:t>для осуществления основной уставной деятельности в соответствии с целями создания Учреждения – это предоставление услуг дополнительного образования детей;</w:t>
      </w:r>
    </w:p>
    <w:p w:rsidR="00FF42BF" w:rsidRPr="00DD6CFF" w:rsidRDefault="00FF42BF" w:rsidP="00FF42BF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D6CFF">
        <w:rPr>
          <w:rFonts w:ascii="Times New Roman" w:eastAsia="Times New Roman" w:hAnsi="Times New Roman" w:cs="Times New Roman"/>
          <w:lang w:eastAsia="ru-RU"/>
        </w:rPr>
        <w:t>с целью получения доходов от иной приносящей доход деятельности, предусмотренной Уставом.</w:t>
      </w:r>
    </w:p>
    <w:p w:rsidR="00FF42BF" w:rsidRPr="00DD6CFF" w:rsidRDefault="00FF42BF" w:rsidP="00FF42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6CFF">
        <w:rPr>
          <w:rFonts w:ascii="Times New Roman" w:eastAsia="Times New Roman" w:hAnsi="Times New Roman" w:cs="Times New Roman"/>
          <w:lang w:eastAsia="ru-RU"/>
        </w:rPr>
        <w:t xml:space="preserve">В проверяемом периоде объекты движимого и недвижимого имущества в аренду не сдавались и безвозмездное пользование не предоставлялись. </w:t>
      </w:r>
    </w:p>
    <w:p w:rsidR="00FF42BF" w:rsidRPr="00DD6CFF" w:rsidRDefault="00FF42BF" w:rsidP="00FF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D6CFF">
        <w:rPr>
          <w:rFonts w:ascii="Times New Roman" w:eastAsia="Calibri" w:hAnsi="Times New Roman" w:cs="Times New Roman"/>
          <w:lang w:eastAsia="ru-RU"/>
        </w:rPr>
        <w:t xml:space="preserve">Нецелевого использования средств местного бюджета, выделенных Учреждению </w:t>
      </w:r>
      <w:r w:rsidRPr="00DD6CFF">
        <w:rPr>
          <w:rFonts w:ascii="Times New Roman" w:hAnsi="Times New Roman" w:cs="Times New Roman"/>
        </w:rPr>
        <w:t>в форме субсидий на иные цели не установлено.</w:t>
      </w:r>
    </w:p>
    <w:p w:rsidR="00FF42BF" w:rsidRPr="00DD6CFF" w:rsidRDefault="00FF42BF" w:rsidP="00FF42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D6CFF">
        <w:rPr>
          <w:rFonts w:ascii="Times New Roman" w:hAnsi="Times New Roman" w:cs="Times New Roman"/>
          <w:b/>
        </w:rPr>
        <w:t>По итогам проверки выявлены следующие нарушения и замечания:</w:t>
      </w:r>
    </w:p>
    <w:p w:rsidR="00FF42BF" w:rsidRPr="00DD6CFF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2BF" w:rsidRPr="00DD6CFF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CFF">
        <w:rPr>
          <w:rFonts w:ascii="Times New Roman" w:hAnsi="Times New Roman" w:cs="Times New Roman"/>
          <w:b/>
        </w:rPr>
        <w:t xml:space="preserve">1. </w:t>
      </w:r>
      <w:r w:rsidRPr="00DD6CFF">
        <w:rPr>
          <w:rFonts w:ascii="Times New Roman" w:hAnsi="Times New Roman" w:cs="Times New Roman"/>
        </w:rPr>
        <w:t xml:space="preserve">В нарушение </w:t>
      </w:r>
      <w:r w:rsidRPr="00140530">
        <w:rPr>
          <w:rFonts w:ascii="Times New Roman" w:hAnsi="Times New Roman" w:cs="Times New Roman"/>
        </w:rPr>
        <w:t xml:space="preserve">статей 116, 291, 321 Трудового кодекса РФ несовершеннолетним гражданам, принятым в учебно-производственные бригады, выплата компенсации </w:t>
      </w:r>
      <w:r w:rsidRPr="00DD6CFF">
        <w:rPr>
          <w:rFonts w:ascii="Times New Roman" w:hAnsi="Times New Roman" w:cs="Times New Roman"/>
        </w:rPr>
        <w:t>за неиспользованный отпуск произведена из расчета 4,33 календарных дня, вместо 4 дней.</w:t>
      </w:r>
    </w:p>
    <w:p w:rsidR="00FF42BF" w:rsidRPr="00DD6CFF" w:rsidRDefault="00FF42BF" w:rsidP="00FF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CFF">
        <w:rPr>
          <w:rFonts w:ascii="Times New Roman" w:hAnsi="Times New Roman" w:cs="Times New Roman"/>
          <w:b/>
        </w:rPr>
        <w:t xml:space="preserve">2. </w:t>
      </w:r>
      <w:r w:rsidRPr="00140530">
        <w:rPr>
          <w:rFonts w:ascii="Times New Roman" w:hAnsi="Times New Roman" w:cs="Times New Roman"/>
        </w:rPr>
        <w:t>В нарушение:</w:t>
      </w:r>
    </w:p>
    <w:p w:rsidR="00FF42BF" w:rsidRPr="00140530" w:rsidRDefault="00FF42BF" w:rsidP="003114B2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статьи 78.1 Бюджетного кодекса Российской Федерации;</w:t>
      </w:r>
    </w:p>
    <w:p w:rsidR="00FF42BF" w:rsidRPr="00140530" w:rsidRDefault="00FF42BF" w:rsidP="003114B2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статьи 19 Федерального закона от 06.12.2011 № 402-ФЗ «О бухгалтерском учете», допущена переплата заработной платы за счет субсидии на иные цели</w:t>
      </w:r>
      <w:r w:rsidR="003114B2" w:rsidRPr="00140530">
        <w:rPr>
          <w:rFonts w:ascii="Times New Roman" w:hAnsi="Times New Roman" w:cs="Times New Roman"/>
        </w:rPr>
        <w:t xml:space="preserve"> на создание временных рабочих мест для несовершеннолетних граждан в возрасте от 14 до 18 лет:</w:t>
      </w:r>
    </w:p>
    <w:p w:rsidR="00FF42BF" w:rsidRPr="00140530" w:rsidRDefault="00FF42BF" w:rsidP="00FF42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40530">
        <w:rPr>
          <w:rFonts w:ascii="Times New Roman" w:hAnsi="Times New Roman" w:cs="Times New Roman"/>
        </w:rPr>
        <w:t>по КБК 032 0707 999К077160 111 211 «Заработная плата»</w:t>
      </w:r>
      <w:r w:rsidRPr="00140530">
        <w:rPr>
          <w:rFonts w:ascii="Times New Roman" w:hAnsi="Times New Roman" w:cs="Times New Roman"/>
          <w:i/>
        </w:rPr>
        <w:t xml:space="preserve"> 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i/>
        </w:rPr>
        <w:t xml:space="preserve">             - </w:t>
      </w:r>
      <w:r w:rsidRPr="00140530">
        <w:rPr>
          <w:rFonts w:ascii="Times New Roman" w:hAnsi="Times New Roman" w:cs="Times New Roman"/>
        </w:rPr>
        <w:t xml:space="preserve">за счет средств областного бюджета в сумме 2 571,49 рублей, в т.ч. НДФЛ на сумму 470,00 рублей, 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            - за счет средств местного бюджета по КБК 032 0707 0710682400 111 211 в сумме    5 339,70 рублей, в т.ч. НДФЛ на сумму 570,00 рублей</w:t>
      </w:r>
      <w:r w:rsidRPr="00140530">
        <w:rPr>
          <w:rFonts w:ascii="Times New Roman" w:hAnsi="Times New Roman" w:cs="Times New Roman"/>
        </w:rPr>
        <w:tab/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lastRenderedPageBreak/>
        <w:t>КБК 032 0707 999К077160 111 211 «Заработная плата» (компенсация за неиспользованный отпуск)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            - за счет средств областного бюджета в сумме 243,87   рублей, в т.ч. НДФЛ на сумму 23,00 рублей, 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            - за счет средств местного бюджета по КБК 032 0707 0710682400 111 211 в сумме 186,17 рублей, в т.ч. НДФЛ на сумму 18,00 рублей.</w:t>
      </w:r>
    </w:p>
    <w:p w:rsidR="00FF42BF" w:rsidRPr="00140530" w:rsidRDefault="00FF42BF" w:rsidP="00FF42B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3.</w:t>
      </w:r>
      <w:r w:rsidRPr="00140530">
        <w:rPr>
          <w:rFonts w:ascii="Times New Roman" w:hAnsi="Times New Roman" w:cs="Times New Roman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части 1, 2, 3 статьи 9, части 1 статьи 19 Федерального закона от 06.12.2011 № 402-ФЗ «О бухгалтерском учете»; </w:t>
      </w:r>
    </w:p>
    <w:p w:rsidR="00FF42BF" w:rsidRPr="00140530" w:rsidRDefault="00FF42BF" w:rsidP="00FF42BF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статей 1.2,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карт»;  </w:t>
      </w:r>
    </w:p>
    <w:p w:rsidR="00FF42BF" w:rsidRPr="00140530" w:rsidRDefault="00FF42BF" w:rsidP="00FF42BF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пунктов 3, 4, 9 постановления Правительства Российской Федерации от 06.05.2008 № 359 «О порядке осуществления наличных денежных расчетов и (или) расчетов с использованием платежных карт без применения контрольно-кассовой техники»;</w:t>
      </w:r>
    </w:p>
    <w:p w:rsidR="00FF42BF" w:rsidRPr="00140530" w:rsidRDefault="00FF42BF" w:rsidP="00FF42BF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пунктов 3.4, 3.5 Учетной политики, утвержденной приказом от 21.01.2017 № 23 (в редакции приказа от 16.11.2018 № 291)</w:t>
      </w:r>
    </w:p>
    <w:p w:rsidR="00FF42BF" w:rsidRPr="00140530" w:rsidRDefault="00FF42BF" w:rsidP="003114B2">
      <w:pPr>
        <w:spacing w:after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Учреждением допущено нарушение требований по оформлению фактов хозяйственной жизни экономического субъекта первичными учетными документами, в результате чего осуществлено расходование средств субсидии на иные цели </w:t>
      </w:r>
      <w:r w:rsidR="003114B2" w:rsidRPr="00140530">
        <w:rPr>
          <w:rFonts w:ascii="Times New Roman" w:hAnsi="Times New Roman" w:cs="Times New Roman"/>
        </w:rPr>
        <w:t xml:space="preserve">на организацию отдыха детей Мурманской области </w:t>
      </w:r>
      <w:r w:rsidRPr="00140530">
        <w:rPr>
          <w:rFonts w:ascii="Times New Roman" w:hAnsi="Times New Roman" w:cs="Times New Roman"/>
        </w:rPr>
        <w:t xml:space="preserve">без подтверждения </w:t>
      </w:r>
      <w:r w:rsidR="00E83A1E" w:rsidRPr="00140530">
        <w:rPr>
          <w:rFonts w:ascii="Times New Roman" w:hAnsi="Times New Roman" w:cs="Times New Roman"/>
        </w:rPr>
        <w:t>о</w:t>
      </w:r>
      <w:r w:rsidRPr="00140530">
        <w:rPr>
          <w:rFonts w:ascii="Times New Roman" w:hAnsi="Times New Roman" w:cs="Times New Roman"/>
        </w:rPr>
        <w:t xml:space="preserve">правдательными документами (списание подотчетных сумм по не надлежаще оформленным оправдательным документам) на общую сумму 17 077,00 рублей, в т.ч.: </w:t>
      </w:r>
    </w:p>
    <w:p w:rsidR="00FF42BF" w:rsidRPr="00140530" w:rsidRDefault="00FF42BF" w:rsidP="00FF42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по КБК 032 0707 0710671070 244 на сумму 13 711,00 рублей, </w:t>
      </w:r>
    </w:p>
    <w:p w:rsidR="00FF42BF" w:rsidRPr="00140530" w:rsidRDefault="00FF42BF" w:rsidP="00FF42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по КБК 032 0707 0710682120 244 на сумму 3 365,00 рублей, </w:t>
      </w:r>
    </w:p>
    <w:p w:rsidR="00FF42BF" w:rsidRPr="00140530" w:rsidRDefault="00FF42BF" w:rsidP="00FF42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по КБК 032 0707 0710671070 244 34201 на сумму 1,00 рублей (средства областного бюджета). </w:t>
      </w:r>
    </w:p>
    <w:p w:rsidR="00FF42BF" w:rsidRPr="00140530" w:rsidRDefault="00FF42BF" w:rsidP="00FF42B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4.</w:t>
      </w:r>
      <w:r w:rsidRPr="00140530">
        <w:rPr>
          <w:rFonts w:ascii="Times New Roman" w:hAnsi="Times New Roman" w:cs="Times New Roman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части 1 статьи 19 Федерального закона от 06.12.2011 № 402-ФЗ «О бухгалтерском учете»;</w:t>
      </w:r>
    </w:p>
    <w:p w:rsidR="00FF42BF" w:rsidRPr="00140530" w:rsidRDefault="00FF42BF" w:rsidP="00FF42B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 пунктов 3.4, 3.5 Учетной политики, утвержденной приказом от 21.01.2017 № 23 (в редакции приказа от 16.11.2018 № 291) 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не осуществл</w:t>
      </w:r>
      <w:r w:rsidR="00B25985" w:rsidRPr="00140530">
        <w:rPr>
          <w:rFonts w:ascii="Times New Roman" w:hAnsi="Times New Roman" w:cs="Times New Roman"/>
        </w:rPr>
        <w:t xml:space="preserve">яется внутренний </w:t>
      </w:r>
      <w:r w:rsidRPr="00140530">
        <w:rPr>
          <w:rFonts w:ascii="Times New Roman" w:hAnsi="Times New Roman" w:cs="Times New Roman"/>
        </w:rPr>
        <w:t>контроль за правильным оформлением факта хозяйственной жизни.</w:t>
      </w:r>
    </w:p>
    <w:p w:rsidR="00FF42BF" w:rsidRPr="00140530" w:rsidRDefault="00FF42BF" w:rsidP="00FF42B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0530">
        <w:rPr>
          <w:rFonts w:ascii="Times New Roman" w:hAnsi="Times New Roman" w:cs="Times New Roman"/>
        </w:rPr>
        <w:t xml:space="preserve">5. </w:t>
      </w:r>
      <w:r w:rsidRPr="00140530">
        <w:rPr>
          <w:rFonts w:ascii="Times New Roman" w:eastAsia="Times New Roman" w:hAnsi="Times New Roman" w:cs="Times New Roman"/>
          <w:lang w:eastAsia="ru-RU"/>
        </w:rPr>
        <w:t>В нарушение стать</w:t>
      </w:r>
      <w:r w:rsidR="00B25985" w:rsidRPr="00140530">
        <w:rPr>
          <w:rFonts w:ascii="Times New Roman" w:eastAsia="Times New Roman" w:hAnsi="Times New Roman" w:cs="Times New Roman"/>
          <w:lang w:eastAsia="ru-RU"/>
        </w:rPr>
        <w:t xml:space="preserve">ей </w:t>
      </w:r>
      <w:r w:rsidRPr="00140530">
        <w:rPr>
          <w:rFonts w:ascii="Times New Roman" w:eastAsia="Times New Roman" w:hAnsi="Times New Roman" w:cs="Times New Roman"/>
          <w:lang w:eastAsia="ru-RU"/>
        </w:rPr>
        <w:t>19</w:t>
      </w:r>
      <w:r w:rsidR="00B25985" w:rsidRPr="00140530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20 Федерального закона № 402-ФЗ «О бухгалтерском учете» Учреждением не обеспечен должный контроль в части соблюдения принципов регулирования бухгалтерского учета на соответствие </w:t>
      </w:r>
      <w:r w:rsidRPr="00140530">
        <w:rPr>
          <w:rFonts w:ascii="Times New Roman" w:hAnsi="Times New Roman" w:cs="Times New Roman"/>
          <w:bCs/>
        </w:rPr>
        <w:t xml:space="preserve">федеральных и отраслевых стандартов потребностям пользователей бухгалтерской отчетности (без применения норм </w:t>
      </w:r>
      <w:r w:rsidRPr="00140530">
        <w:rPr>
          <w:rFonts w:ascii="Times New Roman" w:hAnsi="Times New Roman" w:cs="Times New Roman"/>
        </w:rPr>
        <w:t>СГС «Доходы», утвержденный приказом Минфина России от 27.02.2018 № 32н «Об утверждении Федерального стандарта бухгалтерского учета для организаций государственного сектора «Доходы»).</w:t>
      </w:r>
    </w:p>
    <w:p w:rsidR="00FF42BF" w:rsidRPr="00140530" w:rsidRDefault="00FF42BF" w:rsidP="00FF42B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FF42BF" w:rsidRPr="00140530" w:rsidRDefault="00FF42BF" w:rsidP="00FF42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40530">
        <w:rPr>
          <w:rFonts w:ascii="Times New Roman" w:hAnsi="Times New Roman" w:cs="Times New Roman"/>
          <w:b/>
          <w:shd w:val="clear" w:color="auto" w:fill="FFFFFF"/>
        </w:rPr>
        <w:t>6.</w:t>
      </w:r>
      <w:r w:rsidRPr="00140530">
        <w:rPr>
          <w:rFonts w:ascii="Times New Roman" w:hAnsi="Times New Roman" w:cs="Times New Roman"/>
          <w:shd w:val="clear" w:color="auto" w:fill="FFFFFF"/>
        </w:rPr>
        <w:t xml:space="preserve"> В нарушение </w:t>
      </w:r>
      <w:r w:rsidRPr="00140530">
        <w:t xml:space="preserve">  </w:t>
      </w:r>
      <w:r w:rsidRPr="00140530">
        <w:rPr>
          <w:rFonts w:ascii="Times New Roman" w:hAnsi="Times New Roman" w:cs="Times New Roman"/>
        </w:rPr>
        <w:t>статьи 11 Федерального закона от 06.12.2011 № 402-ФЗ «О бухгалтерском учете»,</w:t>
      </w:r>
      <w:r w:rsidRPr="00140530">
        <w:rPr>
          <w:rFonts w:ascii="Times New Roman" w:hAnsi="Times New Roman" w:cs="Times New Roman"/>
          <w:shd w:val="clear" w:color="auto" w:fill="FFFFFF"/>
        </w:rPr>
        <w:t xml:space="preserve"> «Положения об инвентаризации имущества и обязательств учреждения» (Приложение № 12 к Учетной политики): </w:t>
      </w:r>
    </w:p>
    <w:p w:rsidR="00FF42BF" w:rsidRPr="00140530" w:rsidRDefault="00FF42BF" w:rsidP="00FF42BF">
      <w:pPr>
        <w:pStyle w:val="ConsPlusNormal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4053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приказе от 20.10.2020 № 249 </w:t>
      </w:r>
      <w:r w:rsidRPr="00140530">
        <w:rPr>
          <w:rFonts w:ascii="Times New Roman" w:hAnsi="Times New Roman" w:cs="Times New Roman"/>
          <w:sz w:val="22"/>
          <w:szCs w:val="22"/>
        </w:rPr>
        <w:t xml:space="preserve">«О проведении инвентаризации за 2020 год» </w:t>
      </w:r>
      <w:r w:rsidRPr="00140530">
        <w:rPr>
          <w:rFonts w:ascii="Times New Roman" w:hAnsi="Times New Roman" w:cs="Times New Roman"/>
          <w:sz w:val="22"/>
          <w:szCs w:val="22"/>
          <w:shd w:val="clear" w:color="auto" w:fill="FFFFFF"/>
        </w:rPr>
        <w:t>отсутствует причина проведения инвентаризации (пункт 1.6);</w:t>
      </w:r>
    </w:p>
    <w:p w:rsidR="00FF42BF" w:rsidRPr="00140530" w:rsidRDefault="00FF42BF" w:rsidP="00FF42B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0530">
        <w:rPr>
          <w:rFonts w:ascii="Times New Roman" w:hAnsi="Times New Roman" w:cs="Times New Roman"/>
          <w:sz w:val="22"/>
          <w:szCs w:val="22"/>
          <w:shd w:val="clear" w:color="auto" w:fill="FFFFFF"/>
        </w:rPr>
        <w:t>отсутствует Акт инвентаризации наличных денежных средств (пункт 1.11);</w:t>
      </w:r>
    </w:p>
    <w:p w:rsidR="00FF42BF" w:rsidRPr="00140530" w:rsidRDefault="00FF42BF" w:rsidP="00FF42B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0530">
        <w:rPr>
          <w:rFonts w:ascii="Times New Roman" w:hAnsi="Times New Roman" w:cs="Times New Roman"/>
          <w:sz w:val="22"/>
          <w:szCs w:val="22"/>
          <w:shd w:val="clear" w:color="auto" w:fill="FFFFFF"/>
        </w:rPr>
        <w:t>не составлен Акт о результатах инвентаризации (пункт 3.5);</w:t>
      </w:r>
    </w:p>
    <w:p w:rsidR="00FF42BF" w:rsidRPr="00140530" w:rsidRDefault="00FF42BF" w:rsidP="00FF42B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0530">
        <w:rPr>
          <w:rFonts w:ascii="Times New Roman" w:hAnsi="Times New Roman" w:cs="Times New Roman"/>
          <w:sz w:val="22"/>
          <w:szCs w:val="22"/>
          <w:shd w:val="clear" w:color="auto" w:fill="FFFFFF"/>
        </w:rPr>
        <w:t>результаты инвентаризации не утверждены руководителем учреждения (пункт 3.6).</w:t>
      </w:r>
    </w:p>
    <w:p w:rsidR="00D14704" w:rsidRPr="00140530" w:rsidRDefault="00D14704" w:rsidP="00D147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140530" w:rsidRDefault="00FF42BF" w:rsidP="00FF42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530">
        <w:rPr>
          <w:rFonts w:ascii="Times New Roman" w:eastAsia="Times New Roman" w:hAnsi="Times New Roman" w:cs="Times New Roman"/>
          <w:b/>
          <w:lang w:eastAsia="ru-RU"/>
        </w:rPr>
        <w:t>7.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530">
        <w:rPr>
          <w:rFonts w:ascii="Times New Roman" w:eastAsia="Times New Roman" w:hAnsi="Times New Roman" w:cs="Times New Roman"/>
          <w:lang w:eastAsia="ru-RU"/>
        </w:rPr>
        <w:t>пункта 3 статьи 9 Федерального закона от 06.12.2011 № 402-ФЗ «О бухгалтерском учете»;</w:t>
      </w:r>
    </w:p>
    <w:p w:rsidR="00FF42BF" w:rsidRPr="00140530" w:rsidRDefault="00FF42BF" w:rsidP="00FF42BF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530">
        <w:rPr>
          <w:rFonts w:ascii="Times New Roman" w:eastAsia="Times New Roman" w:hAnsi="Times New Roman" w:cs="Times New Roman"/>
          <w:lang w:eastAsia="ru-RU"/>
        </w:rPr>
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 w:rsidRPr="00140530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академий наук, государственных (муниципальных) учреждений и Инструкции по его применению»:</w:t>
      </w:r>
    </w:p>
    <w:p w:rsidR="00FF42BF" w:rsidRPr="00140530" w:rsidRDefault="00FF42BF" w:rsidP="00FF42BF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lang w:eastAsia="ru-RU"/>
        </w:rPr>
        <w:t>до 2020 года земельный участок стоимостью 19 508 383,20 рублей в</w:t>
      </w:r>
      <w:r w:rsidRPr="00140530">
        <w:rPr>
          <w:rFonts w:ascii="Times New Roman" w:hAnsi="Times New Roman" w:cs="Times New Roman"/>
        </w:rPr>
        <w:t xml:space="preserve"> составе непроизведенных активов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 не состоял на балансовом учете </w:t>
      </w:r>
      <w:r w:rsidR="005835BB" w:rsidRPr="00140530">
        <w:rPr>
          <w:rFonts w:ascii="Times New Roman" w:hAnsi="Times New Roman" w:cs="Times New Roman"/>
        </w:rPr>
        <w:t xml:space="preserve">по бух. счету </w:t>
      </w:r>
      <w:r w:rsidRPr="00140530">
        <w:rPr>
          <w:rFonts w:ascii="Times New Roman" w:hAnsi="Times New Roman" w:cs="Times New Roman"/>
        </w:rPr>
        <w:t>4 103 11 000 «Земля – недвижимое имущество учреждения»</w:t>
      </w:r>
      <w:r w:rsidRPr="00140530">
        <w:rPr>
          <w:rFonts w:ascii="Times New Roman" w:eastAsia="Times New Roman" w:hAnsi="Times New Roman" w:cs="Times New Roman"/>
          <w:lang w:eastAsia="ru-RU"/>
        </w:rPr>
        <w:t>;</w:t>
      </w:r>
    </w:p>
    <w:p w:rsidR="00FF42BF" w:rsidRPr="00140530" w:rsidRDefault="00FF42BF" w:rsidP="00FF42BF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40530">
        <w:rPr>
          <w:rFonts w:ascii="Times New Roman" w:eastAsia="Times New Roman" w:hAnsi="Times New Roman" w:cs="Times New Roman"/>
          <w:lang w:eastAsia="ru-RU"/>
        </w:rPr>
        <w:t xml:space="preserve">особо ценное движимое имущество, </w:t>
      </w:r>
      <w:r w:rsidRPr="00140530">
        <w:rPr>
          <w:rFonts w:ascii="Times New Roman" w:hAnsi="Times New Roman" w:cs="Times New Roman"/>
        </w:rPr>
        <w:t xml:space="preserve">закрепленное за учреждением </w:t>
      </w:r>
      <w:r w:rsidRPr="00140530">
        <w:rPr>
          <w:rFonts w:ascii="Times New Roman" w:eastAsia="Times New Roman" w:hAnsi="Times New Roman" w:cs="Times New Roman"/>
          <w:lang w:eastAsia="ru-RU"/>
        </w:rPr>
        <w:t>распоряжением администрации от 24.10.2011 № 738-р (</w:t>
      </w:r>
      <w:proofErr w:type="gramStart"/>
      <w:r w:rsidRPr="00140530">
        <w:rPr>
          <w:rFonts w:ascii="Times New Roman" w:eastAsia="Times New Roman" w:hAnsi="Times New Roman" w:cs="Times New Roman"/>
          <w:lang w:eastAsia="ru-RU"/>
        </w:rPr>
        <w:t>с  дополнениями</w:t>
      </w:r>
      <w:proofErr w:type="gramEnd"/>
      <w:r w:rsidRPr="00140530">
        <w:rPr>
          <w:rFonts w:ascii="Times New Roman" w:eastAsia="Times New Roman" w:hAnsi="Times New Roman" w:cs="Times New Roman"/>
          <w:lang w:eastAsia="ru-RU"/>
        </w:rPr>
        <w:t xml:space="preserve">) не числится  по  бухгалтерскому  учету  на счете  0 </w:t>
      </w:r>
      <w:hyperlink r:id="rId8" w:history="1">
        <w:r w:rsidRPr="00140530">
          <w:rPr>
            <w:rFonts w:ascii="Times New Roman" w:eastAsia="Times New Roman" w:hAnsi="Times New Roman" w:cs="Times New Roman"/>
            <w:lang w:eastAsia="ru-RU"/>
          </w:rPr>
          <w:t>210 06</w:t>
        </w:r>
      </w:hyperlink>
      <w:r w:rsidRPr="00140530">
        <w:rPr>
          <w:rFonts w:ascii="Times New Roman" w:eastAsia="Times New Roman" w:hAnsi="Times New Roman" w:cs="Times New Roman"/>
          <w:lang w:eastAsia="ru-RU"/>
        </w:rPr>
        <w:t xml:space="preserve"> «Расчеты с учредителем».</w:t>
      </w:r>
    </w:p>
    <w:p w:rsidR="00FF42BF" w:rsidRPr="00140530" w:rsidRDefault="00FF42BF" w:rsidP="00FF42B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8.</w:t>
      </w:r>
      <w:r w:rsidRPr="00140530">
        <w:rPr>
          <w:rFonts w:ascii="Times New Roman" w:hAnsi="Times New Roman" w:cs="Times New Roman"/>
        </w:rPr>
        <w:t xml:space="preserve"> В нарушение пункта 8, 11 статьи 10 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Федерального закона от 03.11.2006 № 174-ФЗ «Об автономных учреждениях» </w:t>
      </w:r>
      <w:r w:rsidRPr="00140530">
        <w:rPr>
          <w:rFonts w:ascii="Times New Roman" w:hAnsi="Times New Roman" w:cs="Times New Roman"/>
        </w:rPr>
        <w:t xml:space="preserve">Учредителем не внесены изменения в состав </w:t>
      </w:r>
      <w:r w:rsidRPr="00140530">
        <w:rPr>
          <w:rFonts w:ascii="Times New Roman" w:eastAsia="Calibri" w:hAnsi="Times New Roman" w:cs="Times New Roman"/>
          <w:lang w:eastAsia="ru-RU"/>
        </w:rPr>
        <w:t>Наблюдательного совета из числа представителей органов местного самоуправления.</w:t>
      </w:r>
    </w:p>
    <w:p w:rsidR="00FF42BF" w:rsidRPr="00140530" w:rsidRDefault="00FF42BF" w:rsidP="00FF42BF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9.</w:t>
      </w:r>
      <w:r w:rsidRPr="00140530">
        <w:rPr>
          <w:rFonts w:ascii="Times New Roman" w:hAnsi="Times New Roman" w:cs="Times New Roman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статьи 13 Федерального закона от 06.12.2011 № 402-ФЗ «О бухгалтерском учете»;</w:t>
      </w:r>
    </w:p>
    <w:p w:rsidR="00FF42BF" w:rsidRPr="00140530" w:rsidRDefault="00FF42BF" w:rsidP="00FF42B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 пункта 68 приказа </w:t>
      </w:r>
      <w:r w:rsidRPr="00140530">
        <w:rPr>
          <w:rFonts w:ascii="Times New Roman" w:eastAsia="Times New Roman" w:hAnsi="Times New Roman" w:cs="Times New Roman"/>
          <w:lang w:eastAsia="ru-RU"/>
        </w:rPr>
        <w:t>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140530">
        <w:rPr>
          <w:rFonts w:ascii="Times New Roman" w:hAnsi="Times New Roman"/>
        </w:rPr>
        <w:t xml:space="preserve"> 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/>
        </w:rPr>
        <w:t>не соблюдены требования, в части формировании отчета «</w:t>
      </w:r>
      <w:r w:rsidRPr="00140530">
        <w:rPr>
          <w:rFonts w:ascii="Times New Roman" w:hAnsi="Times New Roman" w:cs="Times New Roman"/>
        </w:rPr>
        <w:t xml:space="preserve">Сведения о движении нефинансовых активов учреждения» </w:t>
      </w:r>
      <w:r w:rsidRPr="00140530">
        <w:rPr>
          <w:rFonts w:ascii="Times New Roman" w:hAnsi="Times New Roman"/>
        </w:rPr>
        <w:t>(ф. 0503768).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530">
        <w:rPr>
          <w:rFonts w:ascii="Times New Roman" w:eastAsia="Times New Roman" w:hAnsi="Times New Roman" w:cs="Times New Roman"/>
          <w:b/>
          <w:lang w:eastAsia="ru-RU"/>
        </w:rPr>
        <w:t>10.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lang w:eastAsia="ru-RU"/>
        </w:rPr>
        <w:t>пункта 3 статьи 9 Федерального закона от 06.12.2011 № 402-ФЗ «О бухгалтерском учете»,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lang w:eastAsia="ru-RU"/>
        </w:rPr>
        <w:t xml:space="preserve"> пункта 37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lang w:eastAsia="ru-RU"/>
        </w:rPr>
        <w:t xml:space="preserve"> пункта 7 приказа </w:t>
      </w:r>
      <w:r w:rsidRPr="00140530">
        <w:rPr>
          <w:rFonts w:ascii="Times New Roman" w:hAnsi="Times New Roman" w:cs="Times New Roman"/>
        </w:rPr>
        <w:t xml:space="preserve">Минфина России от 23.12.2010 № 183н «Об утверждении Плана счетов бухгалтерского учета автономных учреждений и Инструкции по его применению» 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lang w:eastAsia="ru-RU"/>
        </w:rPr>
        <w:t xml:space="preserve">по состоянию на 01.01.2020 года, на 01.01.2021 года (за исключением объекта- экотеплица) особо ценное движимое имущество, </w:t>
      </w:r>
      <w:r w:rsidRPr="00140530">
        <w:rPr>
          <w:rFonts w:ascii="Times New Roman" w:hAnsi="Times New Roman" w:cs="Times New Roman"/>
        </w:rPr>
        <w:t xml:space="preserve">закрепленное за учреждение </w:t>
      </w:r>
      <w:r w:rsidRPr="00140530">
        <w:rPr>
          <w:rFonts w:ascii="Times New Roman" w:eastAsia="Times New Roman" w:hAnsi="Times New Roman" w:cs="Times New Roman"/>
          <w:lang w:eastAsia="ru-RU"/>
        </w:rPr>
        <w:t>распоряжением администрации от 24.10.2011 № 738-р, не числится</w:t>
      </w:r>
      <w:r w:rsidR="005835BB" w:rsidRPr="00140530">
        <w:rPr>
          <w:rFonts w:ascii="Times New Roman" w:eastAsia="Times New Roman" w:hAnsi="Times New Roman" w:cs="Times New Roman"/>
          <w:lang w:eastAsia="ru-RU"/>
        </w:rPr>
        <w:t xml:space="preserve"> на балансе У</w:t>
      </w:r>
      <w:r w:rsidRPr="00140530">
        <w:rPr>
          <w:rFonts w:ascii="Times New Roman" w:eastAsia="Times New Roman" w:hAnsi="Times New Roman" w:cs="Times New Roman"/>
          <w:lang w:eastAsia="ru-RU"/>
        </w:rPr>
        <w:t>чреждения.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11.</w:t>
      </w:r>
      <w:r w:rsidRPr="00140530">
        <w:rPr>
          <w:rFonts w:ascii="Times New Roman" w:hAnsi="Times New Roman" w:cs="Times New Roman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 xml:space="preserve">статьи 3 </w:t>
      </w:r>
      <w:r w:rsidRPr="00140530">
        <w:rPr>
          <w:rFonts w:ascii="Times New Roman" w:eastAsia="Times New Roman" w:hAnsi="Times New Roman" w:cs="Times New Roman"/>
          <w:lang w:eastAsia="ru-RU"/>
        </w:rPr>
        <w:t>Федерального закона от 03.11.2006 № 174-ФЗ «Об автономных учреждениях»;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пункта 5.2 Устава учреждения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движимое имущество на сумму 805 081,71 рублей</w:t>
      </w:r>
      <w:r w:rsidR="005835BB"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 закреплено за У</w:t>
      </w:r>
      <w:r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чреждением на праве оперативного управления.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4053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12.</w:t>
      </w:r>
      <w:r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пункта 34 </w:t>
      </w:r>
      <w:r w:rsidRPr="00140530">
        <w:rPr>
          <w:rFonts w:ascii="Times New Roman" w:eastAsia="Times New Roman" w:hAnsi="Times New Roman" w:cs="Times New Roman"/>
          <w:lang w:eastAsia="ru-RU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53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 xml:space="preserve">и пункта 1.2 «Положения о комиссии по поступлению и выбытию основных средств» (утверждено приложением № 10 к Учетной политике) </w:t>
      </w:r>
    </w:p>
    <w:p w:rsidR="00FF42BF" w:rsidRPr="00140530" w:rsidRDefault="002E6EAE" w:rsidP="00FF4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У</w:t>
      </w:r>
      <w:r w:rsidR="00FF42BF"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чреждении не создана комиссия по поступлению и выбытию нефинансовых активов.</w:t>
      </w:r>
    </w:p>
    <w:p w:rsidR="00D14704" w:rsidRPr="00140530" w:rsidRDefault="00D14704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13.</w:t>
      </w:r>
      <w:r w:rsidRPr="00140530">
        <w:rPr>
          <w:rFonts w:ascii="Times New Roman" w:hAnsi="Times New Roman" w:cs="Times New Roman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530">
        <w:rPr>
          <w:rFonts w:ascii="Times New Roman" w:hAnsi="Times New Roman" w:cs="Times New Roman"/>
        </w:rPr>
        <w:t>пункта 18 приказа Минфина России от 01.12.2010 № 157н «</w:t>
      </w:r>
      <w:r w:rsidRPr="00140530">
        <w:rPr>
          <w:rFonts w:ascii="Times New Roman" w:eastAsia="Times New Roman" w:hAnsi="Times New Roman" w:cs="Times New Roman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lastRenderedPageBreak/>
        <w:t>пункта 28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FF42BF" w:rsidRPr="00140530" w:rsidRDefault="00FF42BF" w:rsidP="00FF42BF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пункта 9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FF42BF" w:rsidRPr="00140530" w:rsidRDefault="002E6EAE" w:rsidP="00FF42B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У</w:t>
      </w:r>
      <w:r w:rsidR="00FF42BF" w:rsidRPr="00140530">
        <w:rPr>
          <w:rFonts w:ascii="Times New Roman" w:hAnsi="Times New Roman" w:cs="Times New Roman"/>
        </w:rPr>
        <w:t>чреждением нарушен установленный порядок внесения исправлений в первичные документы, в результате чего допущено неправильное отражение на счетах бухгалтерского учета операции по восстановлению кассовых расходов в сумме 155,13 рублей, что повлекло незначительное искажение показателей бухгалтерской отчетности по кредиторской задолженности ф. 0503769 «Сведениях по дебиторской и кредиторской задолженности учреждения».</w:t>
      </w:r>
    </w:p>
    <w:p w:rsidR="00FF42BF" w:rsidRPr="00140530" w:rsidRDefault="00FF42BF" w:rsidP="00FF42B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14.</w:t>
      </w:r>
      <w:r w:rsidRPr="00140530">
        <w:rPr>
          <w:rFonts w:ascii="Times New Roman" w:hAnsi="Times New Roman" w:cs="Times New Roman"/>
        </w:rPr>
        <w:t xml:space="preserve"> В нарушение пункта 12.4.8 приказа Минфина России от 29.11.2017 № 209н «Об утверждении Порядка применения классификации операций сектора государственного управления» материальные ценности (наградная продукция) в сумме 2 000,00 рублей приняты к учету по подстатье КОСГУ 446 «Уменьшение стоимости прочих оборотных ценностей (материалов)», следовало отнести на подстатью 449 «Уменьшение стоимости прочих материальных запасов однократного применения».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Times New Roman" w:hAnsi="Times New Roman" w:cs="Times New Roman"/>
          <w:b/>
          <w:lang w:eastAsia="ru-RU"/>
        </w:rPr>
        <w:t>15.</w:t>
      </w:r>
      <w:r w:rsidRPr="00140530">
        <w:rPr>
          <w:rFonts w:ascii="Times New Roman" w:eastAsia="Times New Roman" w:hAnsi="Times New Roman" w:cs="Times New Roman"/>
          <w:lang w:eastAsia="ru-RU"/>
        </w:rPr>
        <w:t xml:space="preserve"> В нарушение норм, установленных Общероссийским базовым (отраслевым) перечнем (классификатором) государственных и муниципальных услуг, оказываемых физическим лицам, по показателю объема муниципальной услуги неправильно применена единицах измерения - число обучающихся, следовало -   человеко-часов.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16.</w:t>
      </w:r>
      <w:r w:rsidRPr="00140530">
        <w:rPr>
          <w:rFonts w:ascii="Times New Roman" w:hAnsi="Times New Roman" w:cs="Times New Roman"/>
        </w:rPr>
        <w:t xml:space="preserve">  При формировании муниципального задания Управлением образования   некорректно применялся стандарт качества предоставления муниципальных услуг (приказ УО от 04.05.2012 № 179), разработанный в соответствии с нормами закона  Федерального закона от 27.07.2010 № 210-ФЗ «Об организации предоставления государственных и муниципальных услуг», так как законодательные нормы применяются  при  предоставлении муниципальных услуг  по  запросам  заявителей (физических  и  юридических лиц)  в  электронном виде.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17.</w:t>
      </w:r>
      <w:r w:rsidRPr="00140530">
        <w:rPr>
          <w:rFonts w:ascii="Times New Roman" w:hAnsi="Times New Roman" w:cs="Times New Roman"/>
        </w:rPr>
        <w:t xml:space="preserve"> В  нарушение постановления администрации м.о. Кандалакшский район от 28.06.2016 № 762 (в редакции от 21.12.2018 № 1738 с дополнениями от 17.07.2020 № 873) «Об утверждении Положения  о компенсации расходов на оплату стоимости проезда и провоза багажа к месту использования отпуска (отдыха) и обратно лицам, работающим в учреждениях и организациях, расположенных в районах Крайнего Севера, финансируемых из средств бюджета муниципального образования Кандалакшский район, и неработающим членам их семей»  при  выплате  компенсации не учтены  сервисные услуги на  сумму   3 064,00 рублей, включенные в  стоимость  проезда.</w:t>
      </w: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18.</w:t>
      </w:r>
      <w:r w:rsidRPr="00140530">
        <w:rPr>
          <w:rFonts w:ascii="Times New Roman" w:hAnsi="Times New Roman" w:cs="Times New Roman"/>
        </w:rPr>
        <w:t xml:space="preserve"> В нарушение договора с Администрацией м.о. Кандалакшский район от 12.05.1996 № 279 «О закреплении муниципального имущества на праве оперативного управления» (в редакции дополнительного соглашения от 05.03.2013 № 9):</w:t>
      </w:r>
    </w:p>
    <w:p w:rsidR="00FF42BF" w:rsidRPr="00140530" w:rsidRDefault="002E6EAE" w:rsidP="00FF42BF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40530">
        <w:rPr>
          <w:rFonts w:ascii="Times New Roman" w:hAnsi="Times New Roman" w:cs="Times New Roman"/>
          <w:sz w:val="22"/>
          <w:szCs w:val="22"/>
        </w:rPr>
        <w:t>У</w:t>
      </w:r>
      <w:r w:rsidR="00FF42BF" w:rsidRPr="00140530">
        <w:rPr>
          <w:rFonts w:ascii="Times New Roman" w:hAnsi="Times New Roman" w:cs="Times New Roman"/>
          <w:sz w:val="22"/>
          <w:szCs w:val="22"/>
        </w:rPr>
        <w:t>чреждением не заключен договор постоянного (бессрочного) пользования земельным участком, занимаемым недвижимым имуществом (зданиями, строениями, сооружениями) (пункт 2.6.4 договора);</w:t>
      </w:r>
    </w:p>
    <w:p w:rsidR="00FF42BF" w:rsidRPr="00140530" w:rsidRDefault="002E6EAE" w:rsidP="00FF42BF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</w:t>
      </w:r>
      <w:r w:rsidR="00FF42BF" w:rsidRPr="0014053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чреждение своевременно не информировало Администрацию м.о.  Кандалакшский район об изменениях, связанных с имуществом, закрепленном на праве оперативного управления, для внесения дополнений и изменений в приложение к договору (пункт 2.6.5 договора).</w:t>
      </w:r>
    </w:p>
    <w:p w:rsidR="00FF42BF" w:rsidRPr="00140530" w:rsidRDefault="00FF42BF" w:rsidP="00FF42B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FF42BF" w:rsidRPr="00140530" w:rsidRDefault="00FF42BF" w:rsidP="00FF42BF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eastAsia="Calibri" w:hAnsi="Times New Roman" w:cs="Times New Roman"/>
          <w:b/>
          <w:lang w:eastAsia="ru-RU"/>
        </w:rPr>
        <w:t>19.</w:t>
      </w:r>
      <w:r w:rsidRPr="00140530">
        <w:rPr>
          <w:rFonts w:ascii="Times New Roman" w:eastAsia="Calibri" w:hAnsi="Times New Roman" w:cs="Times New Roman"/>
          <w:lang w:eastAsia="ru-RU"/>
        </w:rPr>
        <w:t xml:space="preserve"> Нормы пункта 2.8 Положения о наблюдательном совете (утверждено приказом директора от 02.07.2018 № 160) противоречат нормам пункта 7.8.4 Устава Учреждения в части лица, правомочного принимать решение о досрочном прекращении в Наблюдательном совете полномочий представителя работников Учреждения.</w:t>
      </w:r>
    </w:p>
    <w:p w:rsidR="00FF42BF" w:rsidRPr="00140530" w:rsidRDefault="00FF42BF" w:rsidP="00FF42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20.</w:t>
      </w:r>
      <w:r w:rsidRPr="00140530">
        <w:rPr>
          <w:rFonts w:ascii="Times New Roman" w:hAnsi="Times New Roman" w:cs="Times New Roman"/>
        </w:rPr>
        <w:t xml:space="preserve"> В нарушение:</w:t>
      </w:r>
    </w:p>
    <w:p w:rsidR="00FF42BF" w:rsidRPr="00140530" w:rsidRDefault="00FF42BF" w:rsidP="00FF42BF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lastRenderedPageBreak/>
        <w:t>приказа Управления образования от 16.05.2016 № 279 «Об утверждении Правил предоставления и расходования субсидий на иные цели муниципальным бюджетным и автономным образовательным организациям»;</w:t>
      </w:r>
    </w:p>
    <w:p w:rsidR="00FF42BF" w:rsidRPr="00140530" w:rsidRDefault="00FF42BF" w:rsidP="00FF42BF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пункта 5 постановления администрации м.о. Кандалакшский район от 25.04.2016 № 474 (в ред. от 04.02.2020 № 182) «Об утверждении Порядка определения объема и условий предоставления из бюджета муниципального образования Кандалакшский район муниципальным бюджетным и автономным учреждениям субсидий на иные цели»</w:t>
      </w:r>
    </w:p>
    <w:p w:rsidR="005901BB" w:rsidRPr="00140530" w:rsidRDefault="00FF42BF" w:rsidP="0059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</w:rPr>
        <w:t>не составлены смета расходов и расчет объем</w:t>
      </w:r>
      <w:r w:rsidR="002E6EAE" w:rsidRPr="00140530">
        <w:rPr>
          <w:rFonts w:ascii="Times New Roman" w:hAnsi="Times New Roman" w:cs="Times New Roman"/>
        </w:rPr>
        <w:t>а</w:t>
      </w:r>
      <w:r w:rsidRPr="00140530">
        <w:rPr>
          <w:rFonts w:ascii="Times New Roman" w:hAnsi="Times New Roman" w:cs="Times New Roman"/>
        </w:rPr>
        <w:t xml:space="preserve"> субсидии на создание временных рабочих мест и других форм занятости для несовершеннолетних граждан в возрасте от 14 до 18 лет</w:t>
      </w:r>
      <w:r w:rsidR="005901BB" w:rsidRPr="00140530">
        <w:rPr>
          <w:rFonts w:ascii="Times New Roman" w:hAnsi="Times New Roman" w:cs="Times New Roman"/>
        </w:rPr>
        <w:t xml:space="preserve"> (на сумму 632,6 тыс. рублей).</w:t>
      </w:r>
    </w:p>
    <w:p w:rsidR="00FF42BF" w:rsidRPr="00140530" w:rsidRDefault="00FF42BF" w:rsidP="00FF42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21.</w:t>
      </w:r>
      <w:r w:rsidRPr="00140530">
        <w:rPr>
          <w:rFonts w:ascii="Times New Roman" w:hAnsi="Times New Roman" w:cs="Times New Roman"/>
        </w:rPr>
        <w:t xml:space="preserve">  Пункт 3 Приложения № 3 «Нормативы расходов в оздоровительных лагерях с дневным пребыванием, экспедициях, досуговых площадках, профильных лагерях, расположенных за пределами населенных пунктов, выездных оздоровительных лагерях, трудовых бригадах» к постановлению администрации № 738 «Об организации отдыха, оздоровления и занятости детей и подростков м.о. Кандалакшский район в 2020 году», не соответствует пункту 4 приказа МАУДО «ДЭБС» от 15.06.2020 № 128 «Об организации работы учебно-производственной бригады» в части установления режима работы по 6-дневной рабочей недели и по 5-дневной рабочей недели соответственно.</w:t>
      </w:r>
    </w:p>
    <w:p w:rsidR="00FF42BF" w:rsidRPr="00140530" w:rsidRDefault="00FF42BF" w:rsidP="00FF42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22.</w:t>
      </w:r>
      <w:r w:rsidRPr="00140530">
        <w:rPr>
          <w:rFonts w:ascii="Times New Roman" w:hAnsi="Times New Roman" w:cs="Times New Roman"/>
        </w:rPr>
        <w:t xml:space="preserve"> В трех приказах по учреждению об организации работы учебно-производственных бригад даты периодов работы не соответствуют периодам работы, указанным в договорах, заключенных с МГОБУ «Центр занятости населения».</w:t>
      </w:r>
    </w:p>
    <w:p w:rsidR="00FF42BF" w:rsidRPr="00140530" w:rsidRDefault="00FF42BF" w:rsidP="00FF42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23.</w:t>
      </w:r>
      <w:r w:rsidRPr="00140530">
        <w:rPr>
          <w:rFonts w:ascii="Times New Roman" w:hAnsi="Times New Roman" w:cs="Times New Roman"/>
        </w:rPr>
        <w:t xml:space="preserve"> Показатели сметы на организацию отдыха детей в разрезе КОСГУ по позиции «начисления на заработную плату» в сумме 2 857,84 рублей КБК 032 0707 0710682120 (местный бюджет), а также общая сумма расходов на экспедицию  в размере 64 272,00 рублей не соответствуют Соглашению о порядке и условиях предоставления из районного бюджета муниципальному бюджетному (автономному) образовательному учреждению субсидии на иные цели от 23.06.2020 № 177 (с учетом доп. соглашений), показателям финансирования и использования субсидии в сумме 2 858,24 рублей и 64 272,40 рублей соответственно на сумму 0,40 рублей.  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530">
        <w:rPr>
          <w:rFonts w:ascii="Times New Roman" w:hAnsi="Times New Roman" w:cs="Times New Roman"/>
          <w:b/>
        </w:rPr>
        <w:t>24.</w:t>
      </w:r>
      <w:r w:rsidRPr="00140530">
        <w:rPr>
          <w:rFonts w:ascii="Times New Roman" w:hAnsi="Times New Roman" w:cs="Times New Roman"/>
        </w:rPr>
        <w:t xml:space="preserve"> Проверкой выявлено приобретение оборудования 13.08.2020г. на сумму 24 096,00 рублей после окончания срока экологической экспедиции, который определен приказом от 31.07.2020 № 161 «Об организации экологической экспедиции» с 03.08.2020г. по 07.08.2020г.  </w:t>
      </w:r>
    </w:p>
    <w:p w:rsidR="00FF42BF" w:rsidRPr="00140530" w:rsidRDefault="00FF42BF" w:rsidP="00F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2BF" w:rsidRPr="003757B1" w:rsidRDefault="00FF42BF" w:rsidP="00FF42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530">
        <w:rPr>
          <w:rFonts w:ascii="Times New Roman" w:hAnsi="Times New Roman" w:cs="Times New Roman"/>
          <w:color w:val="000000" w:themeColor="text1"/>
        </w:rPr>
        <w:t xml:space="preserve">         </w:t>
      </w:r>
      <w:r w:rsidR="00140530">
        <w:rPr>
          <w:rFonts w:ascii="Times New Roman" w:hAnsi="Times New Roman" w:cs="Times New Roman"/>
          <w:color w:val="000000" w:themeColor="text1"/>
        </w:rPr>
        <w:t xml:space="preserve">По итогам контрольного мероприятия выявлено финансовых </w:t>
      </w:r>
      <w:r w:rsidRPr="00140530">
        <w:rPr>
          <w:rFonts w:ascii="Times New Roman" w:hAnsi="Times New Roman" w:cs="Times New Roman"/>
          <w:color w:val="000000" w:themeColor="text1"/>
        </w:rPr>
        <w:t xml:space="preserve">нарушений </w:t>
      </w:r>
      <w:r w:rsidR="00140530">
        <w:rPr>
          <w:rFonts w:ascii="Times New Roman" w:hAnsi="Times New Roman" w:cs="Times New Roman"/>
          <w:color w:val="000000" w:themeColor="text1"/>
        </w:rPr>
        <w:t>на сумму</w:t>
      </w:r>
      <w:r w:rsidR="00140530" w:rsidRPr="00140530">
        <w:rPr>
          <w:rFonts w:ascii="Times New Roman" w:hAnsi="Times New Roman" w:cs="Times New Roman"/>
          <w:color w:val="000000" w:themeColor="text1"/>
        </w:rPr>
        <w:t xml:space="preserve"> </w:t>
      </w:r>
      <w:r w:rsidR="00140530">
        <w:rPr>
          <w:rFonts w:ascii="Times New Roman" w:hAnsi="Times New Roman" w:cs="Times New Roman"/>
          <w:color w:val="000000" w:themeColor="text1"/>
        </w:rPr>
        <w:t xml:space="preserve">1 496,2 тыс. рублей, в </w:t>
      </w:r>
      <w:proofErr w:type="spellStart"/>
      <w:r w:rsidR="00140530">
        <w:rPr>
          <w:rFonts w:ascii="Times New Roman" w:hAnsi="Times New Roman" w:cs="Times New Roman"/>
          <w:color w:val="000000" w:themeColor="text1"/>
        </w:rPr>
        <w:t>т.ч</w:t>
      </w:r>
      <w:proofErr w:type="spellEnd"/>
      <w:r w:rsidR="00140530">
        <w:rPr>
          <w:rFonts w:ascii="Times New Roman" w:hAnsi="Times New Roman" w:cs="Times New Roman"/>
          <w:color w:val="000000" w:themeColor="text1"/>
        </w:rPr>
        <w:t>:</w:t>
      </w:r>
      <w:r w:rsidRPr="000635FB">
        <w:rPr>
          <w:color w:val="5B9BD5" w:themeColor="accent1"/>
          <w:sz w:val="18"/>
          <w:szCs w:val="18"/>
        </w:rPr>
        <w:tab/>
      </w:r>
      <w:r w:rsidRPr="000635FB">
        <w:rPr>
          <w:color w:val="5B9BD5" w:themeColor="accent1"/>
          <w:sz w:val="18"/>
          <w:szCs w:val="18"/>
        </w:rPr>
        <w:tab/>
      </w:r>
      <w:r w:rsidRPr="003757B1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</w:t>
      </w:r>
      <w:r w:rsidR="00A32B61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</w:t>
      </w:r>
    </w:p>
    <w:tbl>
      <w:tblPr>
        <w:tblStyle w:val="a4"/>
        <w:tblW w:w="95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0"/>
        <w:gridCol w:w="7484"/>
        <w:gridCol w:w="1166"/>
      </w:tblGrid>
      <w:tr w:rsidR="00FF42BF" w:rsidRPr="0062196F" w:rsidTr="00140530">
        <w:tc>
          <w:tcPr>
            <w:tcW w:w="880" w:type="dxa"/>
            <w:vAlign w:val="center"/>
          </w:tcPr>
          <w:p w:rsidR="00FF42BF" w:rsidRPr="0062196F" w:rsidRDefault="00FF42BF" w:rsidP="008158F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 п/п</w:t>
            </w:r>
          </w:p>
        </w:tc>
        <w:tc>
          <w:tcPr>
            <w:tcW w:w="7484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Нарушения</w:t>
            </w:r>
          </w:p>
        </w:tc>
        <w:tc>
          <w:tcPr>
            <w:tcW w:w="1166" w:type="dxa"/>
            <w:vAlign w:val="center"/>
          </w:tcPr>
          <w:p w:rsidR="00FF42BF" w:rsidRDefault="00FF42BF" w:rsidP="0081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2020г.</w:t>
            </w:r>
          </w:p>
          <w:p w:rsidR="00140530" w:rsidRPr="0062196F" w:rsidRDefault="00140530" w:rsidP="0081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7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3757B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5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42BF" w:rsidRPr="0062196F" w:rsidTr="008158FA">
        <w:tc>
          <w:tcPr>
            <w:tcW w:w="880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4" w:type="dxa"/>
          </w:tcPr>
          <w:p w:rsidR="00FF42BF" w:rsidRPr="0062196F" w:rsidRDefault="00FF42BF" w:rsidP="00815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 принятия к  учету </w:t>
            </w:r>
            <w:r w:rsidRPr="007733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атериальны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 (</w:t>
            </w: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 xml:space="preserve">наградная продукция)  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F42BF" w:rsidRPr="0062196F" w:rsidTr="008158FA">
        <w:tc>
          <w:tcPr>
            <w:tcW w:w="880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4" w:type="dxa"/>
          </w:tcPr>
          <w:p w:rsidR="00FF42BF" w:rsidRPr="0062196F" w:rsidRDefault="00FF42BF" w:rsidP="008158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общих требований к бухгалтерской (финансовой) отчетности экономического субъекта, в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.ч.</w:t>
            </w:r>
            <w:r w:rsidRPr="00621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ее состав</w:t>
            </w:r>
            <w:r w:rsidR="002E6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в части формирования отчета ф. 0503768 «Сведения о движении нефинансовых активов учреждения»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FF42BF" w:rsidRPr="0062196F" w:rsidTr="008158FA">
        <w:tc>
          <w:tcPr>
            <w:tcW w:w="880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4" w:type="dxa"/>
          </w:tcPr>
          <w:p w:rsidR="00FF42BF" w:rsidRPr="0062196F" w:rsidRDefault="00FF42BF" w:rsidP="008158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NewRoman" w:hAnsi="TimesNewRoman"/>
                <w:color w:val="000000"/>
                <w:sz w:val="18"/>
                <w:szCs w:val="18"/>
              </w:rPr>
              <w:t>Нарушение порядка закрепления и использования находящегося  в муниципальной собственности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имущества,  в части  не </w:t>
            </w:r>
            <w:r w:rsidRPr="0062196F">
              <w:rPr>
                <w:rFonts w:ascii="TimesNewRoman" w:hAnsi="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>з</w:t>
            </w:r>
            <w:r w:rsidRPr="006219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акреплен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ия</w:t>
            </w:r>
            <w:r w:rsidR="009D63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 У</w:t>
            </w:r>
            <w:r w:rsidRPr="006219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чреждением на праве оперативного 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2196F">
              <w:rPr>
                <w:rFonts w:ascii="TimesNewRoman" w:hAnsi="TimesNewRoman"/>
                <w:color w:val="000000"/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805,1</w:t>
            </w:r>
          </w:p>
        </w:tc>
      </w:tr>
      <w:tr w:rsidR="00FF42BF" w:rsidRPr="0062196F" w:rsidTr="008158FA">
        <w:tc>
          <w:tcPr>
            <w:tcW w:w="880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84" w:type="dxa"/>
          </w:tcPr>
          <w:p w:rsidR="00FF42BF" w:rsidRPr="00773333" w:rsidRDefault="00FF42BF" w:rsidP="008158FA">
            <w:pPr>
              <w:ind w:right="-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D7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арушение порядка определения объема и условий предоставления из бюджетов бюджетной системы Российской Федерации субсидий автономным учреждениям на иные цели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  не составления </w:t>
            </w:r>
            <w:r w:rsidRPr="000031CD">
              <w:rPr>
                <w:rFonts w:ascii="Times New Roman" w:hAnsi="Times New Roman" w:cs="Times New Roman"/>
                <w:bCs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0031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расходов  и  расчет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ов</w:t>
            </w:r>
            <w:r w:rsidRPr="000031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объема </w:t>
            </w:r>
            <w:r w:rsidRPr="000031CD">
              <w:rPr>
                <w:rFonts w:ascii="Times New Roman" w:hAnsi="Times New Roman" w:cs="Times New Roman"/>
                <w:sz w:val="18"/>
                <w:szCs w:val="18"/>
              </w:rPr>
              <w:t>субсидии на создание временных рабочих мест и других форм занятости для несовершеннолетних граждан в возрасте от 14 до 18 лет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632,6</w:t>
            </w:r>
          </w:p>
        </w:tc>
      </w:tr>
      <w:tr w:rsidR="00FF42BF" w:rsidRPr="009F6E73" w:rsidTr="008158FA">
        <w:trPr>
          <w:trHeight w:val="777"/>
        </w:trPr>
        <w:tc>
          <w:tcPr>
            <w:tcW w:w="880" w:type="dxa"/>
            <w:vMerge w:val="restart"/>
            <w:vAlign w:val="center"/>
          </w:tcPr>
          <w:p w:rsidR="00FF42BF" w:rsidRPr="009F6E73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4" w:type="dxa"/>
          </w:tcPr>
          <w:p w:rsidR="00FF42BF" w:rsidRPr="009F6E73" w:rsidRDefault="00FF42BF" w:rsidP="008158FA">
            <w:pPr>
              <w:ind w:left="5" w:righ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E73">
              <w:rPr>
                <w:rFonts w:ascii="Times New Roman" w:hAnsi="Times New Roman" w:cs="Times New Roman"/>
                <w:sz w:val="18"/>
                <w:szCs w:val="18"/>
              </w:rPr>
              <w:t>Нарушение порядка и условий оплаты труда работников муниципальных автономных учреждений</w:t>
            </w:r>
            <w:r w:rsidRPr="009F6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6E73">
              <w:rPr>
                <w:rFonts w:ascii="Times New Roman" w:hAnsi="Times New Roman" w:cs="Times New Roman"/>
                <w:sz w:val="18"/>
                <w:szCs w:val="18"/>
              </w:rPr>
              <w:t>в части начисления и выплаты зарплаты несовершеннолетним, принятым на работу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42BF" w:rsidRPr="009F6E73" w:rsidRDefault="00FF42BF" w:rsidP="008158FA">
            <w:pPr>
              <w:ind w:left="5" w:right="-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F6E7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F6E73">
              <w:rPr>
                <w:rFonts w:ascii="Times New Roman" w:hAnsi="Times New Roman" w:cs="Times New Roman"/>
                <w:bCs/>
                <w:sz w:val="18"/>
                <w:szCs w:val="18"/>
              </w:rPr>
              <w:t>переплата заработной платы,  в т.ч. НДФЛ</w:t>
            </w:r>
          </w:p>
        </w:tc>
        <w:tc>
          <w:tcPr>
            <w:tcW w:w="1166" w:type="dxa"/>
            <w:vAlign w:val="center"/>
          </w:tcPr>
          <w:p w:rsidR="00FF42BF" w:rsidRPr="009F6E73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BF" w:rsidRPr="009F6E73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BF" w:rsidRPr="009F6E73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BF" w:rsidRPr="009F6E73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E73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FF42BF" w:rsidRPr="009F6E73" w:rsidTr="008158FA">
        <w:trPr>
          <w:trHeight w:val="363"/>
        </w:trPr>
        <w:tc>
          <w:tcPr>
            <w:tcW w:w="880" w:type="dxa"/>
            <w:vMerge/>
            <w:vAlign w:val="center"/>
          </w:tcPr>
          <w:p w:rsidR="00FF42BF" w:rsidRPr="009F6E73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4" w:type="dxa"/>
            <w:vAlign w:val="center"/>
          </w:tcPr>
          <w:p w:rsidR="00FF42BF" w:rsidRPr="009F6E73" w:rsidRDefault="00FF42BF" w:rsidP="008158FA">
            <w:pPr>
              <w:ind w:left="9" w:right="-6" w:hanging="9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6E73">
              <w:rPr>
                <w:rFonts w:ascii="Times New Roman" w:hAnsi="Times New Roman" w:cs="Times New Roman"/>
                <w:sz w:val="18"/>
                <w:szCs w:val="18"/>
              </w:rPr>
              <w:t>- переплата компенсации за неиспользованный отпуск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F6E73">
              <w:rPr>
                <w:bCs/>
                <w:sz w:val="18"/>
                <w:szCs w:val="18"/>
              </w:rPr>
              <w:t xml:space="preserve"> </w:t>
            </w:r>
            <w:r w:rsidRPr="009F6E73">
              <w:rPr>
                <w:rFonts w:ascii="Times New Roman" w:hAnsi="Times New Roman" w:cs="Times New Roman"/>
                <w:bCs/>
                <w:sz w:val="18"/>
                <w:szCs w:val="18"/>
              </w:rPr>
              <w:t>в т.ч. НДФЛ</w:t>
            </w:r>
          </w:p>
        </w:tc>
        <w:tc>
          <w:tcPr>
            <w:tcW w:w="1166" w:type="dxa"/>
            <w:vAlign w:val="center"/>
          </w:tcPr>
          <w:p w:rsidR="00FF42BF" w:rsidRPr="009F6E73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E7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F42BF" w:rsidRPr="0062196F" w:rsidTr="008158FA">
        <w:tc>
          <w:tcPr>
            <w:tcW w:w="880" w:type="dxa"/>
            <w:vMerge w:val="restart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4" w:type="dxa"/>
          </w:tcPr>
          <w:p w:rsidR="00FF42BF" w:rsidRPr="009F6E73" w:rsidRDefault="00FF42BF" w:rsidP="008158FA">
            <w:pPr>
              <w:ind w:left="9" w:right="-6" w:hanging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E73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42BF" w:rsidRPr="009F6E73" w:rsidRDefault="00FF42BF" w:rsidP="008158FA">
            <w:pPr>
              <w:ind w:left="9" w:right="-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E7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 в части соблюдения установленного порядка внесения исправлений в первичные документы, что повлекло незначительное искажение показателей бухгалтерской отчетности по кредиторской задолженности ф. 0503769 «Сведения по дебиторской и кредиторской задолженности учреждения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0,2</w:t>
            </w:r>
          </w:p>
        </w:tc>
      </w:tr>
      <w:tr w:rsidR="00FF42BF" w:rsidRPr="0062196F" w:rsidTr="008158FA">
        <w:trPr>
          <w:trHeight w:val="713"/>
        </w:trPr>
        <w:tc>
          <w:tcPr>
            <w:tcW w:w="880" w:type="dxa"/>
            <w:vMerge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4" w:type="dxa"/>
            <w:vAlign w:val="center"/>
          </w:tcPr>
          <w:p w:rsidR="00FF42BF" w:rsidRPr="00D85DAF" w:rsidRDefault="00FF42BF" w:rsidP="008158FA">
            <w:pPr>
              <w:ind w:right="-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в части</w:t>
            </w:r>
            <w:r w:rsidRPr="00D85D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расходования средств субсидии </w:t>
            </w:r>
            <w:r w:rsidRPr="00D85DAF">
              <w:rPr>
                <w:rFonts w:ascii="Times New Roman" w:hAnsi="Times New Roman" w:cs="Times New Roman"/>
                <w:sz w:val="18"/>
                <w:szCs w:val="18"/>
              </w:rPr>
              <w:t>на организацию отдыха детей</w:t>
            </w:r>
            <w:r w:rsidRPr="00D8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85DAF">
              <w:rPr>
                <w:rFonts w:ascii="Times New Roman" w:hAnsi="Times New Roman" w:cs="Times New Roman"/>
                <w:bCs/>
                <w:sz w:val="18"/>
                <w:szCs w:val="18"/>
              </w:rPr>
              <w:t>без подтверждения оправдательными документами (списание подотчетных сумм по не надлежаще оформленным оправдательным документам)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D85D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FF42BF" w:rsidRPr="0062196F" w:rsidTr="008158FA">
        <w:tc>
          <w:tcPr>
            <w:tcW w:w="880" w:type="dxa"/>
            <w:vMerge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84" w:type="dxa"/>
          </w:tcPr>
          <w:p w:rsidR="00FF42BF" w:rsidRPr="00C90579" w:rsidRDefault="00FF42BF" w:rsidP="008158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в части  приобретения  оборудования  для  работы  </w:t>
            </w:r>
            <w:r w:rsidRPr="00095844">
              <w:rPr>
                <w:rFonts w:ascii="Times New Roman" w:hAnsi="Times New Roman" w:cs="Times New Roman"/>
                <w:sz w:val="18"/>
                <w:szCs w:val="18"/>
              </w:rPr>
              <w:t>экологической экспедиции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окончании  срока  ее  работы, что не соответствует  критериям  основного  мероприятия    в рамках  муниципальной  программы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</w:tr>
      <w:tr w:rsidR="00FF42BF" w:rsidRPr="0062196F" w:rsidTr="008158FA">
        <w:trPr>
          <w:trHeight w:val="271"/>
        </w:trPr>
        <w:tc>
          <w:tcPr>
            <w:tcW w:w="880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84" w:type="dxa"/>
            <w:vAlign w:val="center"/>
          </w:tcPr>
          <w:p w:rsidR="00FF42BF" w:rsidRPr="00C90579" w:rsidRDefault="00FF42BF" w:rsidP="008158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расчете </w:t>
            </w:r>
            <w:r w:rsidRPr="00C90579">
              <w:rPr>
                <w:rFonts w:ascii="Times New Roman" w:hAnsi="Times New Roman" w:cs="Times New Roman"/>
                <w:sz w:val="18"/>
                <w:szCs w:val="18"/>
              </w:rPr>
              <w:t>компенсации  расходов на оплату стоимости проезда и провоза багажа к месту использования отпуска (отдыха) и обратно лицам, работающим в учреждениях и организациях, расположенных в районах Крайнего Севера, финансируемых из средств бюджета муниципального образования Кандалакшский район, и неработающим членам их семей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0579">
              <w:rPr>
                <w:rFonts w:ascii="Times New Roman" w:hAnsi="Times New Roman" w:cs="Times New Roman"/>
                <w:sz w:val="18"/>
                <w:szCs w:val="18"/>
              </w:rPr>
              <w:t xml:space="preserve">  не учтены  сервисные услуги, включенные в  стоимость  проезда</w:t>
            </w:r>
          </w:p>
        </w:tc>
        <w:tc>
          <w:tcPr>
            <w:tcW w:w="1166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FF42BF" w:rsidRPr="0062196F" w:rsidTr="008158FA">
        <w:tc>
          <w:tcPr>
            <w:tcW w:w="880" w:type="dxa"/>
            <w:vAlign w:val="center"/>
          </w:tcPr>
          <w:p w:rsidR="00FF42BF" w:rsidRPr="0062196F" w:rsidRDefault="00FF42BF" w:rsidP="008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4" w:type="dxa"/>
          </w:tcPr>
          <w:p w:rsidR="00FF42BF" w:rsidRPr="0062196F" w:rsidRDefault="00FF42BF" w:rsidP="008158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96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66" w:type="dxa"/>
            <w:vAlign w:val="center"/>
          </w:tcPr>
          <w:p w:rsidR="00FF42BF" w:rsidRPr="00C90579" w:rsidRDefault="00FF42BF" w:rsidP="008158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79">
              <w:rPr>
                <w:rFonts w:ascii="Times New Roman" w:hAnsi="Times New Roman" w:cs="Times New Roman"/>
                <w:b/>
                <w:sz w:val="18"/>
                <w:szCs w:val="18"/>
              </w:rPr>
              <w:t>1 496,2</w:t>
            </w:r>
          </w:p>
        </w:tc>
      </w:tr>
    </w:tbl>
    <w:p w:rsidR="00FF42BF" w:rsidRPr="0062196F" w:rsidRDefault="00FF42BF" w:rsidP="00FF42B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F42BF" w:rsidRDefault="00FF42BF" w:rsidP="00C32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9D6358" w:rsidRDefault="009D6358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825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3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8254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Милевская</w:t>
      </w:r>
    </w:p>
    <w:p w:rsidR="00F54CE0" w:rsidRDefault="00F54CE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E0" w:rsidRDefault="00F54CE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E0" w:rsidRDefault="00F54CE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61" w:rsidRDefault="00A32B61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61" w:rsidRDefault="00A32B61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61" w:rsidRDefault="00A32B61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30" w:rsidRDefault="0014053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30" w:rsidRDefault="0014053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30" w:rsidRDefault="0014053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61" w:rsidRDefault="00A32B61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61" w:rsidRDefault="00A32B61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61" w:rsidRDefault="00A32B61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40" w:rsidRDefault="0028254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E0" w:rsidRDefault="00F54CE0" w:rsidP="009D6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C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4D" w:rsidRDefault="00F4064D" w:rsidP="006B2551">
      <w:pPr>
        <w:spacing w:after="0" w:line="240" w:lineRule="auto"/>
      </w:pPr>
      <w:r>
        <w:separator/>
      </w:r>
    </w:p>
  </w:endnote>
  <w:endnote w:type="continuationSeparator" w:id="0">
    <w:p w:rsidR="00F4064D" w:rsidRDefault="00F4064D" w:rsidP="006B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382075"/>
      <w:docPartObj>
        <w:docPartGallery w:val="Page Numbers (Bottom of Page)"/>
        <w:docPartUnique/>
      </w:docPartObj>
    </w:sdtPr>
    <w:sdtEndPr/>
    <w:sdtContent>
      <w:p w:rsidR="00F4064D" w:rsidRDefault="00F40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AF">
          <w:rPr>
            <w:noProof/>
          </w:rPr>
          <w:t>1</w:t>
        </w:r>
        <w:r>
          <w:fldChar w:fldCharType="end"/>
        </w:r>
      </w:p>
    </w:sdtContent>
  </w:sdt>
  <w:p w:rsidR="00F4064D" w:rsidRDefault="00F40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4D" w:rsidRDefault="00F4064D" w:rsidP="006B2551">
      <w:pPr>
        <w:spacing w:after="0" w:line="240" w:lineRule="auto"/>
      </w:pPr>
      <w:r>
        <w:separator/>
      </w:r>
    </w:p>
  </w:footnote>
  <w:footnote w:type="continuationSeparator" w:id="0">
    <w:p w:rsidR="00F4064D" w:rsidRDefault="00F4064D" w:rsidP="006B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235"/>
    <w:multiLevelType w:val="hybridMultilevel"/>
    <w:tmpl w:val="89C83942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2B86A18"/>
    <w:multiLevelType w:val="hybridMultilevel"/>
    <w:tmpl w:val="F6EECDC4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127B"/>
    <w:multiLevelType w:val="hybridMultilevel"/>
    <w:tmpl w:val="9C862E82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7D05705"/>
    <w:multiLevelType w:val="hybridMultilevel"/>
    <w:tmpl w:val="F15297E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4869"/>
    <w:multiLevelType w:val="hybridMultilevel"/>
    <w:tmpl w:val="DBCCD45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60D3F"/>
    <w:multiLevelType w:val="hybridMultilevel"/>
    <w:tmpl w:val="D1B220B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C0861"/>
    <w:multiLevelType w:val="hybridMultilevel"/>
    <w:tmpl w:val="0DE0C7C2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62CA1"/>
    <w:multiLevelType w:val="hybridMultilevel"/>
    <w:tmpl w:val="C814352E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B19CA"/>
    <w:multiLevelType w:val="hybridMultilevel"/>
    <w:tmpl w:val="5D9ED696"/>
    <w:lvl w:ilvl="0" w:tplc="E28A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63C2"/>
    <w:multiLevelType w:val="hybridMultilevel"/>
    <w:tmpl w:val="5B320E98"/>
    <w:lvl w:ilvl="0" w:tplc="19401B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686538"/>
    <w:multiLevelType w:val="hybridMultilevel"/>
    <w:tmpl w:val="BC14F89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E3B88"/>
    <w:multiLevelType w:val="hybridMultilevel"/>
    <w:tmpl w:val="8DDC9A8C"/>
    <w:lvl w:ilvl="0" w:tplc="89920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3BF2"/>
    <w:multiLevelType w:val="hybridMultilevel"/>
    <w:tmpl w:val="E5D23164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60D92"/>
    <w:multiLevelType w:val="hybridMultilevel"/>
    <w:tmpl w:val="FFB208DC"/>
    <w:lvl w:ilvl="0" w:tplc="48182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36A10"/>
    <w:multiLevelType w:val="hybridMultilevel"/>
    <w:tmpl w:val="8E62A86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6358B"/>
    <w:multiLevelType w:val="hybridMultilevel"/>
    <w:tmpl w:val="66ECD32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AF7"/>
    <w:multiLevelType w:val="hybridMultilevel"/>
    <w:tmpl w:val="075A8AF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8413B"/>
    <w:multiLevelType w:val="hybridMultilevel"/>
    <w:tmpl w:val="77FC624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94DCA"/>
    <w:multiLevelType w:val="hybridMultilevel"/>
    <w:tmpl w:val="609002C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40DF5"/>
    <w:multiLevelType w:val="hybridMultilevel"/>
    <w:tmpl w:val="B7CEE11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33C2A"/>
    <w:multiLevelType w:val="hybridMultilevel"/>
    <w:tmpl w:val="2BDC1D30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D325FA5"/>
    <w:multiLevelType w:val="hybridMultilevel"/>
    <w:tmpl w:val="204E94D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22E90"/>
    <w:multiLevelType w:val="hybridMultilevel"/>
    <w:tmpl w:val="6E449AD4"/>
    <w:lvl w:ilvl="0" w:tplc="4A344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A1BBB"/>
    <w:multiLevelType w:val="hybridMultilevel"/>
    <w:tmpl w:val="6D32962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87E9B"/>
    <w:multiLevelType w:val="hybridMultilevel"/>
    <w:tmpl w:val="A1C8FAC2"/>
    <w:lvl w:ilvl="0" w:tplc="1940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40633A"/>
    <w:multiLevelType w:val="hybridMultilevel"/>
    <w:tmpl w:val="051C404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D1E27"/>
    <w:multiLevelType w:val="hybridMultilevel"/>
    <w:tmpl w:val="9F4CBE0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44220D04"/>
    <w:multiLevelType w:val="hybridMultilevel"/>
    <w:tmpl w:val="D8ACBA66"/>
    <w:lvl w:ilvl="0" w:tplc="637AB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76FD8"/>
    <w:multiLevelType w:val="hybridMultilevel"/>
    <w:tmpl w:val="FBCEB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B0E71"/>
    <w:multiLevelType w:val="hybridMultilevel"/>
    <w:tmpl w:val="5B680DF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49CC4AE0"/>
    <w:multiLevelType w:val="hybridMultilevel"/>
    <w:tmpl w:val="895E7438"/>
    <w:lvl w:ilvl="0" w:tplc="FA9C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D27AE"/>
    <w:multiLevelType w:val="hybridMultilevel"/>
    <w:tmpl w:val="28103C16"/>
    <w:lvl w:ilvl="0" w:tplc="A3DA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C49C4"/>
    <w:multiLevelType w:val="hybridMultilevel"/>
    <w:tmpl w:val="47B8EC3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B0799"/>
    <w:multiLevelType w:val="hybridMultilevel"/>
    <w:tmpl w:val="30D6EAB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644DB"/>
    <w:multiLevelType w:val="hybridMultilevel"/>
    <w:tmpl w:val="3048B270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C0C45"/>
    <w:multiLevelType w:val="hybridMultilevel"/>
    <w:tmpl w:val="A700306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12F1C"/>
    <w:multiLevelType w:val="hybridMultilevel"/>
    <w:tmpl w:val="F1CCC6E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>
    <w:nsid w:val="5931051E"/>
    <w:multiLevelType w:val="hybridMultilevel"/>
    <w:tmpl w:val="32C2BB58"/>
    <w:lvl w:ilvl="0" w:tplc="8EB07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B35151"/>
    <w:multiLevelType w:val="hybridMultilevel"/>
    <w:tmpl w:val="A044C5B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>
    <w:nsid w:val="683D3182"/>
    <w:multiLevelType w:val="hybridMultilevel"/>
    <w:tmpl w:val="03D2CACC"/>
    <w:lvl w:ilvl="0" w:tplc="A1A2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24E7E"/>
    <w:multiLevelType w:val="hybridMultilevel"/>
    <w:tmpl w:val="AEFECF2A"/>
    <w:lvl w:ilvl="0" w:tplc="07E63FC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703D3373"/>
    <w:multiLevelType w:val="hybridMultilevel"/>
    <w:tmpl w:val="00AAF4C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A1171"/>
    <w:multiLevelType w:val="hybridMultilevel"/>
    <w:tmpl w:val="3BCA1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D560F"/>
    <w:multiLevelType w:val="hybridMultilevel"/>
    <w:tmpl w:val="69D6D526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D1500"/>
    <w:multiLevelType w:val="hybridMultilevel"/>
    <w:tmpl w:val="B52A987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14464"/>
    <w:multiLevelType w:val="hybridMultilevel"/>
    <w:tmpl w:val="DC869BD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C55CB"/>
    <w:multiLevelType w:val="hybridMultilevel"/>
    <w:tmpl w:val="36D62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D6BA5"/>
    <w:multiLevelType w:val="hybridMultilevel"/>
    <w:tmpl w:val="D34CBB6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6"/>
  </w:num>
  <w:num w:numId="5">
    <w:abstractNumId w:val="16"/>
  </w:num>
  <w:num w:numId="6">
    <w:abstractNumId w:val="34"/>
  </w:num>
  <w:num w:numId="7">
    <w:abstractNumId w:val="1"/>
  </w:num>
  <w:num w:numId="8">
    <w:abstractNumId w:val="8"/>
  </w:num>
  <w:num w:numId="9">
    <w:abstractNumId w:val="32"/>
  </w:num>
  <w:num w:numId="10">
    <w:abstractNumId w:val="17"/>
  </w:num>
  <w:num w:numId="11">
    <w:abstractNumId w:val="48"/>
  </w:num>
  <w:num w:numId="12">
    <w:abstractNumId w:val="22"/>
  </w:num>
  <w:num w:numId="13">
    <w:abstractNumId w:val="20"/>
  </w:num>
  <w:num w:numId="14">
    <w:abstractNumId w:val="44"/>
  </w:num>
  <w:num w:numId="15">
    <w:abstractNumId w:val="19"/>
  </w:num>
  <w:num w:numId="16">
    <w:abstractNumId w:val="35"/>
  </w:num>
  <w:num w:numId="17">
    <w:abstractNumId w:val="38"/>
  </w:num>
  <w:num w:numId="18">
    <w:abstractNumId w:val="24"/>
  </w:num>
  <w:num w:numId="19">
    <w:abstractNumId w:val="43"/>
  </w:num>
  <w:num w:numId="20">
    <w:abstractNumId w:val="36"/>
  </w:num>
  <w:num w:numId="21">
    <w:abstractNumId w:val="7"/>
  </w:num>
  <w:num w:numId="22">
    <w:abstractNumId w:val="13"/>
  </w:num>
  <w:num w:numId="23">
    <w:abstractNumId w:val="6"/>
  </w:num>
  <w:num w:numId="24">
    <w:abstractNumId w:val="21"/>
  </w:num>
  <w:num w:numId="25">
    <w:abstractNumId w:val="23"/>
  </w:num>
  <w:num w:numId="26">
    <w:abstractNumId w:val="3"/>
  </w:num>
  <w:num w:numId="27">
    <w:abstractNumId w:val="40"/>
  </w:num>
  <w:num w:numId="28">
    <w:abstractNumId w:val="4"/>
  </w:num>
  <w:num w:numId="29">
    <w:abstractNumId w:val="46"/>
  </w:num>
  <w:num w:numId="30">
    <w:abstractNumId w:val="31"/>
  </w:num>
  <w:num w:numId="31">
    <w:abstractNumId w:val="12"/>
  </w:num>
  <w:num w:numId="32">
    <w:abstractNumId w:val="42"/>
  </w:num>
  <w:num w:numId="33">
    <w:abstractNumId w:val="47"/>
  </w:num>
  <w:num w:numId="34">
    <w:abstractNumId w:val="41"/>
  </w:num>
  <w:num w:numId="35">
    <w:abstractNumId w:val="45"/>
  </w:num>
  <w:num w:numId="36">
    <w:abstractNumId w:val="33"/>
  </w:num>
  <w:num w:numId="37">
    <w:abstractNumId w:val="11"/>
  </w:num>
  <w:num w:numId="38">
    <w:abstractNumId w:val="9"/>
  </w:num>
  <w:num w:numId="39">
    <w:abstractNumId w:val="5"/>
  </w:num>
  <w:num w:numId="40">
    <w:abstractNumId w:val="18"/>
  </w:num>
  <w:num w:numId="41">
    <w:abstractNumId w:val="25"/>
  </w:num>
  <w:num w:numId="42">
    <w:abstractNumId w:val="15"/>
  </w:num>
  <w:num w:numId="43">
    <w:abstractNumId w:val="27"/>
  </w:num>
  <w:num w:numId="44">
    <w:abstractNumId w:val="29"/>
  </w:num>
  <w:num w:numId="45">
    <w:abstractNumId w:val="0"/>
  </w:num>
  <w:num w:numId="46">
    <w:abstractNumId w:val="30"/>
  </w:num>
  <w:num w:numId="47">
    <w:abstractNumId w:val="39"/>
  </w:num>
  <w:num w:numId="48">
    <w:abstractNumId w:val="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6F"/>
    <w:rsid w:val="0003393F"/>
    <w:rsid w:val="00077FEA"/>
    <w:rsid w:val="00086001"/>
    <w:rsid w:val="00096256"/>
    <w:rsid w:val="000D35F0"/>
    <w:rsid w:val="000F4CF3"/>
    <w:rsid w:val="0010470A"/>
    <w:rsid w:val="001101B3"/>
    <w:rsid w:val="00140530"/>
    <w:rsid w:val="00151991"/>
    <w:rsid w:val="00152F58"/>
    <w:rsid w:val="001539B3"/>
    <w:rsid w:val="002200D5"/>
    <w:rsid w:val="0022526F"/>
    <w:rsid w:val="002327D9"/>
    <w:rsid w:val="002334DA"/>
    <w:rsid w:val="0023712D"/>
    <w:rsid w:val="00240D4B"/>
    <w:rsid w:val="00260483"/>
    <w:rsid w:val="00263FAF"/>
    <w:rsid w:val="00281047"/>
    <w:rsid w:val="00282540"/>
    <w:rsid w:val="002E3F84"/>
    <w:rsid w:val="002E6D7D"/>
    <w:rsid w:val="002E6EAE"/>
    <w:rsid w:val="002F59B7"/>
    <w:rsid w:val="00301B15"/>
    <w:rsid w:val="003103F2"/>
    <w:rsid w:val="003114B2"/>
    <w:rsid w:val="003152CF"/>
    <w:rsid w:val="00326CF0"/>
    <w:rsid w:val="00327DCD"/>
    <w:rsid w:val="00330B4B"/>
    <w:rsid w:val="00354064"/>
    <w:rsid w:val="00366860"/>
    <w:rsid w:val="00367DB5"/>
    <w:rsid w:val="003C138D"/>
    <w:rsid w:val="003C4407"/>
    <w:rsid w:val="00422FFC"/>
    <w:rsid w:val="004378E5"/>
    <w:rsid w:val="00440626"/>
    <w:rsid w:val="0044356F"/>
    <w:rsid w:val="00494C05"/>
    <w:rsid w:val="004F598D"/>
    <w:rsid w:val="00571764"/>
    <w:rsid w:val="00571776"/>
    <w:rsid w:val="005835BB"/>
    <w:rsid w:val="005901BB"/>
    <w:rsid w:val="00594FD9"/>
    <w:rsid w:val="00597B50"/>
    <w:rsid w:val="005F4627"/>
    <w:rsid w:val="005F7BDD"/>
    <w:rsid w:val="00625233"/>
    <w:rsid w:val="00627934"/>
    <w:rsid w:val="00654915"/>
    <w:rsid w:val="006766E3"/>
    <w:rsid w:val="00693FCF"/>
    <w:rsid w:val="006B2551"/>
    <w:rsid w:val="006C0FEC"/>
    <w:rsid w:val="006D09ED"/>
    <w:rsid w:val="006F12E7"/>
    <w:rsid w:val="006F7049"/>
    <w:rsid w:val="0070786B"/>
    <w:rsid w:val="00712BC9"/>
    <w:rsid w:val="00715CF1"/>
    <w:rsid w:val="00735F90"/>
    <w:rsid w:val="00742E9A"/>
    <w:rsid w:val="00746966"/>
    <w:rsid w:val="00773BB3"/>
    <w:rsid w:val="007B2723"/>
    <w:rsid w:val="007C726D"/>
    <w:rsid w:val="007E0613"/>
    <w:rsid w:val="007E35AB"/>
    <w:rsid w:val="007F29D2"/>
    <w:rsid w:val="007F4D24"/>
    <w:rsid w:val="00810587"/>
    <w:rsid w:val="008158FA"/>
    <w:rsid w:val="00830E99"/>
    <w:rsid w:val="00836886"/>
    <w:rsid w:val="0084550B"/>
    <w:rsid w:val="008506D1"/>
    <w:rsid w:val="00875FDD"/>
    <w:rsid w:val="008B2444"/>
    <w:rsid w:val="008C372C"/>
    <w:rsid w:val="008C6A37"/>
    <w:rsid w:val="00902F43"/>
    <w:rsid w:val="00917DFB"/>
    <w:rsid w:val="00944062"/>
    <w:rsid w:val="00975204"/>
    <w:rsid w:val="009A1873"/>
    <w:rsid w:val="009A77CF"/>
    <w:rsid w:val="009B50F2"/>
    <w:rsid w:val="009D30FC"/>
    <w:rsid w:val="009D6358"/>
    <w:rsid w:val="00A2226A"/>
    <w:rsid w:val="00A32B61"/>
    <w:rsid w:val="00A5454D"/>
    <w:rsid w:val="00A63A00"/>
    <w:rsid w:val="00A70167"/>
    <w:rsid w:val="00A74692"/>
    <w:rsid w:val="00A74E8B"/>
    <w:rsid w:val="00AE501E"/>
    <w:rsid w:val="00AE604C"/>
    <w:rsid w:val="00B073CA"/>
    <w:rsid w:val="00B25985"/>
    <w:rsid w:val="00B56196"/>
    <w:rsid w:val="00B72C36"/>
    <w:rsid w:val="00BA10E3"/>
    <w:rsid w:val="00BA2C53"/>
    <w:rsid w:val="00BB702C"/>
    <w:rsid w:val="00BC1FEF"/>
    <w:rsid w:val="00BE2A0E"/>
    <w:rsid w:val="00C074EF"/>
    <w:rsid w:val="00C22633"/>
    <w:rsid w:val="00C234F7"/>
    <w:rsid w:val="00C3257C"/>
    <w:rsid w:val="00C414F7"/>
    <w:rsid w:val="00C83E2B"/>
    <w:rsid w:val="00C91628"/>
    <w:rsid w:val="00CA224D"/>
    <w:rsid w:val="00CA50F1"/>
    <w:rsid w:val="00CB4688"/>
    <w:rsid w:val="00CC3733"/>
    <w:rsid w:val="00CD61C0"/>
    <w:rsid w:val="00D0508A"/>
    <w:rsid w:val="00D14704"/>
    <w:rsid w:val="00D24D1B"/>
    <w:rsid w:val="00D57A5A"/>
    <w:rsid w:val="00DC209F"/>
    <w:rsid w:val="00DD6028"/>
    <w:rsid w:val="00DF443C"/>
    <w:rsid w:val="00E23359"/>
    <w:rsid w:val="00E7242A"/>
    <w:rsid w:val="00E823B8"/>
    <w:rsid w:val="00E83A1E"/>
    <w:rsid w:val="00E91575"/>
    <w:rsid w:val="00E96FE9"/>
    <w:rsid w:val="00EA0C23"/>
    <w:rsid w:val="00EA3690"/>
    <w:rsid w:val="00ED3635"/>
    <w:rsid w:val="00EE66C1"/>
    <w:rsid w:val="00F013D2"/>
    <w:rsid w:val="00F06E17"/>
    <w:rsid w:val="00F26193"/>
    <w:rsid w:val="00F36949"/>
    <w:rsid w:val="00F4064D"/>
    <w:rsid w:val="00F51A25"/>
    <w:rsid w:val="00F54CE0"/>
    <w:rsid w:val="00F80B08"/>
    <w:rsid w:val="00FA16FA"/>
    <w:rsid w:val="00FC23D7"/>
    <w:rsid w:val="00FD64AF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DE0E-2EFE-4D6F-9FA0-4AAA370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D1"/>
    <w:pPr>
      <w:ind w:left="720"/>
      <w:contextualSpacing/>
    </w:pPr>
  </w:style>
  <w:style w:type="table" w:styleId="a4">
    <w:name w:val="Table Grid"/>
    <w:basedOn w:val="a1"/>
    <w:uiPriority w:val="59"/>
    <w:rsid w:val="0032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51"/>
  </w:style>
  <w:style w:type="paragraph" w:styleId="a7">
    <w:name w:val="footer"/>
    <w:basedOn w:val="a"/>
    <w:link w:val="a8"/>
    <w:uiPriority w:val="99"/>
    <w:unhideWhenUsed/>
    <w:rsid w:val="006B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51"/>
  </w:style>
  <w:style w:type="table" w:customStyle="1" w:styleId="1">
    <w:name w:val="Сетка таблицы1"/>
    <w:basedOn w:val="a1"/>
    <w:next w:val="a4"/>
    <w:uiPriority w:val="39"/>
    <w:rsid w:val="00C3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C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F4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42B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7798B8D4DB25885AF8F2C247397F75DFC70819A5E5F4120E7766902FA1E2FED218E27B4C5B905E60CE80E7FD7354FFFEBB1CA4F300EEFb93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fo-card/241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10</cp:revision>
  <cp:lastPrinted>2021-10-14T06:13:00Z</cp:lastPrinted>
  <dcterms:created xsi:type="dcterms:W3CDTF">2021-10-01T09:55:00Z</dcterms:created>
  <dcterms:modified xsi:type="dcterms:W3CDTF">2021-10-29T06:32:00Z</dcterms:modified>
</cp:coreProperties>
</file>